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19823" w14:textId="671A3540" w:rsidR="007E3252" w:rsidRDefault="007E1C1D" w:rsidP="00366A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>COMUNIDADES VULNERÁVEIS: UM DIREITO À CIDADE</w:t>
      </w:r>
    </w:p>
    <w:p w14:paraId="7379B502" w14:textId="77777777" w:rsidR="0056073A" w:rsidRPr="00366AB0" w:rsidRDefault="0056073A" w:rsidP="00366AB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36653D" w14:textId="36187A39" w:rsidR="007E3252" w:rsidRPr="0056073A" w:rsidRDefault="007E1C1D" w:rsidP="00366AB0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6073A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="005444D1" w:rsidRPr="0056073A">
        <w:rPr>
          <w:rFonts w:ascii="Times New Roman" w:hAnsi="Times New Roman" w:cs="Times New Roman"/>
          <w:i/>
          <w:sz w:val="24"/>
          <w:szCs w:val="24"/>
          <w:lang w:val="en-US"/>
        </w:rPr>
        <w:t>ULNERABLE COMMUNITIES</w:t>
      </w:r>
      <w:r w:rsidRPr="0056073A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r w:rsidR="005444D1" w:rsidRPr="0056073A">
        <w:rPr>
          <w:rFonts w:ascii="Times New Roman" w:hAnsi="Times New Roman" w:cs="Times New Roman"/>
          <w:i/>
          <w:sz w:val="24"/>
          <w:szCs w:val="24"/>
          <w:lang w:val="en-US"/>
        </w:rPr>
        <w:t>A RIGHT TO THE CITY</w:t>
      </w:r>
    </w:p>
    <w:p w14:paraId="61D68590" w14:textId="77777777" w:rsidR="007E3252" w:rsidRPr="00366AB0" w:rsidRDefault="007E3252" w:rsidP="00366AB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CECC30" w14:textId="616A79C2" w:rsidR="007E3252" w:rsidRPr="00366AB0" w:rsidRDefault="007E1C1D" w:rsidP="004A7D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>Carolina Mello Cotrim</w:t>
      </w:r>
      <w:r w:rsidR="007302A3">
        <w:rPr>
          <w:rFonts w:ascii="Times New Roman" w:hAnsi="Times New Roman" w:cs="Times New Roman"/>
          <w:b/>
          <w:sz w:val="24"/>
          <w:szCs w:val="24"/>
          <w:lang w:val="pt-BR"/>
        </w:rPr>
        <w:t>-</w:t>
      </w:r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>Ferreira</w:t>
      </w:r>
    </w:p>
    <w:p w14:paraId="017C3657" w14:textId="6CE55A33" w:rsidR="007E3252" w:rsidRPr="00366AB0" w:rsidRDefault="007E1C1D" w:rsidP="004A7D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FAU Mackenzie</w:t>
      </w:r>
    </w:p>
    <w:p w14:paraId="38215DD3" w14:textId="683D8529" w:rsidR="0033515C" w:rsidRPr="00366AB0" w:rsidRDefault="00EE2AAD" w:rsidP="004A7DD9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  <w:lang w:val="pt-BR"/>
        </w:rPr>
      </w:pPr>
      <w:hyperlink r:id="rId8" w:history="1">
        <w:r w:rsidR="0033515C" w:rsidRPr="00366AB0">
          <w:rPr>
            <w:rStyle w:val="Hyperlink"/>
            <w:rFonts w:ascii="Times New Roman" w:hAnsi="Times New Roman" w:cs="Times New Roman"/>
            <w:sz w:val="24"/>
            <w:szCs w:val="24"/>
            <w:highlight w:val="white"/>
            <w:lang w:val="pt-BR"/>
          </w:rPr>
          <w:t>carolinamcotrimferreira@gmail.com</w:t>
        </w:r>
      </w:hyperlink>
    </w:p>
    <w:p w14:paraId="6F90F2A4" w14:textId="77777777" w:rsidR="007E3252" w:rsidRPr="00366AB0" w:rsidRDefault="007E3252" w:rsidP="004A7D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14:paraId="34E04618" w14:textId="082EE3D5" w:rsidR="007E3252" w:rsidRPr="00C771B7" w:rsidRDefault="007E1C1D" w:rsidP="00C771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Graduação em Arquitetura e Urbanismo na Universidade Presbiteriana Mackenzie, com intercâmbio na Faculdade de Arquitetura </w:t>
      </w:r>
      <w:r w:rsidR="007302A3">
        <w:rPr>
          <w:rFonts w:ascii="Times New Roman" w:hAnsi="Times New Roman" w:cs="Times New Roman"/>
          <w:sz w:val="24"/>
          <w:szCs w:val="24"/>
          <w:lang w:val="pt-BR"/>
        </w:rPr>
        <w:t xml:space="preserve">da Universidade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KU </w:t>
      </w:r>
      <w:proofErr w:type="spellStart"/>
      <w:r w:rsidRPr="00366AB0">
        <w:rPr>
          <w:rFonts w:ascii="Times New Roman" w:hAnsi="Times New Roman" w:cs="Times New Roman"/>
          <w:sz w:val="24"/>
          <w:szCs w:val="24"/>
          <w:lang w:val="pt-BR"/>
        </w:rPr>
        <w:t>Leuven</w:t>
      </w:r>
      <w:proofErr w:type="spellEnd"/>
      <w:r w:rsidR="007302A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="007302A3">
        <w:rPr>
          <w:rFonts w:ascii="Times New Roman" w:hAnsi="Times New Roman" w:cs="Times New Roman"/>
          <w:sz w:val="24"/>
          <w:szCs w:val="24"/>
          <w:lang w:val="pt-BR"/>
        </w:rPr>
        <w:t>Ghent</w:t>
      </w:r>
      <w:proofErr w:type="spellEnd"/>
      <w:r w:rsidR="007302A3">
        <w:rPr>
          <w:rFonts w:ascii="Times New Roman" w:hAnsi="Times New Roman" w:cs="Times New Roman"/>
          <w:sz w:val="24"/>
          <w:szCs w:val="24"/>
          <w:lang w:val="pt-BR"/>
        </w:rPr>
        <w:t xml:space="preserve"> - Bélgica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, Master Internacional: </w:t>
      </w:r>
      <w:proofErr w:type="spellStart"/>
      <w:r w:rsidRPr="00366AB0">
        <w:rPr>
          <w:rFonts w:ascii="Times New Roman" w:hAnsi="Times New Roman" w:cs="Times New Roman"/>
          <w:sz w:val="24"/>
          <w:szCs w:val="24"/>
          <w:lang w:val="pt-BR"/>
        </w:rPr>
        <w:t>Resilient</w:t>
      </w:r>
      <w:proofErr w:type="spellEnd"/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366AB0">
        <w:rPr>
          <w:rFonts w:ascii="Times New Roman" w:hAnsi="Times New Roman" w:cs="Times New Roman"/>
          <w:sz w:val="24"/>
          <w:szCs w:val="24"/>
          <w:lang w:val="pt-BR"/>
        </w:rPr>
        <w:t>and</w:t>
      </w:r>
      <w:proofErr w:type="spellEnd"/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366AB0">
        <w:rPr>
          <w:rFonts w:ascii="Times New Roman" w:hAnsi="Times New Roman" w:cs="Times New Roman"/>
          <w:sz w:val="24"/>
          <w:szCs w:val="24"/>
          <w:lang w:val="pt-BR"/>
        </w:rPr>
        <w:t>Sustainable</w:t>
      </w:r>
      <w:proofErr w:type="spellEnd"/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366AB0">
        <w:rPr>
          <w:rFonts w:ascii="Times New Roman" w:hAnsi="Times New Roman" w:cs="Times New Roman"/>
          <w:sz w:val="24"/>
          <w:szCs w:val="24"/>
          <w:lang w:val="pt-BR"/>
        </w:rPr>
        <w:t>Strategies</w:t>
      </w:r>
      <w:proofErr w:type="spellEnd"/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970B037" w14:textId="77777777" w:rsidR="007E3252" w:rsidRPr="007363B5" w:rsidRDefault="007E3252" w:rsidP="004A7DD9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14:paraId="73252EA1" w14:textId="77777777" w:rsidR="007E3252" w:rsidRPr="00366AB0" w:rsidRDefault="007E1C1D" w:rsidP="004A7D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 xml:space="preserve">Afonso Celso </w:t>
      </w:r>
      <w:proofErr w:type="spellStart"/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>Vanoni</w:t>
      </w:r>
      <w:proofErr w:type="spellEnd"/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 Castro</w:t>
      </w:r>
    </w:p>
    <w:p w14:paraId="747AD20B" w14:textId="77777777" w:rsidR="007E3252" w:rsidRPr="00366AB0" w:rsidRDefault="007E1C1D" w:rsidP="004A7D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FAU Mackenzie</w:t>
      </w:r>
    </w:p>
    <w:p w14:paraId="26D8DE11" w14:textId="77777777" w:rsidR="007E3252" w:rsidRPr="00366AB0" w:rsidRDefault="00EE2AAD" w:rsidP="004A7DD9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highlight w:val="white"/>
          <w:lang w:val="pt-BR"/>
        </w:rPr>
      </w:pPr>
      <w:hyperlink r:id="rId9">
        <w:r w:rsidR="007E1C1D" w:rsidRPr="00366AB0">
          <w:rPr>
            <w:rFonts w:ascii="Times New Roman" w:hAnsi="Times New Roman" w:cs="Times New Roman"/>
            <w:color w:val="1155CC"/>
            <w:sz w:val="24"/>
            <w:szCs w:val="24"/>
            <w:highlight w:val="white"/>
            <w:u w:val="single"/>
            <w:lang w:val="pt-BR"/>
          </w:rPr>
          <w:t>afonso.celso.castro@gmail.com</w:t>
        </w:r>
      </w:hyperlink>
    </w:p>
    <w:p w14:paraId="68CC0592" w14:textId="77777777" w:rsidR="007E3252" w:rsidRPr="00366AB0" w:rsidRDefault="007E3252" w:rsidP="00C771B7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highlight w:val="white"/>
          <w:lang w:val="pt-BR"/>
        </w:rPr>
      </w:pPr>
    </w:p>
    <w:p w14:paraId="423D5D6B" w14:textId="2EA62D93" w:rsidR="007E3252" w:rsidRPr="00C771B7" w:rsidRDefault="007E1C1D" w:rsidP="00C771B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Doutorado em andamento em Arquitetura e Urbanismo. Universidade Presbiteriana Mackenzie. Mestrado em Engenharia Civil Universidade Estadual de Campinas, UNICAMP. Graduação em Arquitetura e Urbanismo PUC Campinas. Atualmente docente na Faculdade de Arquitetura e Urbanismo na Universidade Presbiteriana Mackenzie.</w:t>
      </w:r>
    </w:p>
    <w:p w14:paraId="299B9BA6" w14:textId="77777777" w:rsidR="004A7DD9" w:rsidRPr="008334F7" w:rsidRDefault="004A7DD9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334F7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14:paraId="2C8CA23E" w14:textId="72FFA57F" w:rsidR="007E3252" w:rsidRPr="008334F7" w:rsidRDefault="007E1C1D" w:rsidP="0056073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444D1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R</w:t>
      </w:r>
      <w:r w:rsidR="005444D1">
        <w:rPr>
          <w:rFonts w:ascii="Times New Roman" w:hAnsi="Times New Roman" w:cs="Times New Roman"/>
          <w:b/>
          <w:sz w:val="24"/>
          <w:szCs w:val="24"/>
          <w:lang w:val="pt-BR"/>
        </w:rPr>
        <w:t xml:space="preserve">esumo: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O artigo aborda as questões sociais e dinâmicas que envolvem as comunidades vulneráveis no centro de São Paulo, como por exemplo a chamada "Cracolândia". Inicialmente, é discutido o processo urbano que as originou, ressaltando sua relação com conflitos estruturais no contexto da Cidade de São Paulo e a lógica da segregação 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>socioespacial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 Assim, se introduz a questão da habitação n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>o bairro d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a Luz, marcada por ocupações, pensões e cortiços, e a necessidade da implantação de habitação social de qualidade no centro. Para aprofundar o estudo foi selecionado o conceito de "Direito à Cidade"</w:t>
      </w:r>
      <w:r w:rsidR="007363B5">
        <w:rPr>
          <w:rFonts w:ascii="Times New Roman" w:hAnsi="Times New Roman" w:cs="Times New Roman"/>
          <w:sz w:val="24"/>
          <w:szCs w:val="24"/>
          <w:lang w:val="pt-BR"/>
        </w:rPr>
        <w:t xml:space="preserve">, de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David Harvey, essencial para que se entenda as dinâmicas das comunidades vulneráveis do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>s bairros do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centro e seu direito à habitação num contexto de disputas entre vários agentes. 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>Em uma segunda parte</w:t>
      </w:r>
      <w:r w:rsidR="00C23CB2" w:rsidRPr="00366AB0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o texto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apresenta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com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um exemplo de busca pelo Direito à Cidade, </w:t>
      </w:r>
      <w:r w:rsidR="00CB3D71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projeto urbanístico e social criado pelo Coletivo Fórum Aberto Mundaréu da Luz, denominado Campos Elíseos Vivo. Ele propõe, de forma participativa, uma nova forma de viver e trabalhar no bairro, sem a violência de remoções e demolições, criando novas dinâmicas e oportunidades para as comunidades vulneráveis.</w:t>
      </w:r>
    </w:p>
    <w:p w14:paraId="2A38F35A" w14:textId="162AB4A8" w:rsidR="007E3252" w:rsidRPr="00366AB0" w:rsidRDefault="007E1C1D" w:rsidP="005607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444D1">
        <w:rPr>
          <w:rFonts w:ascii="Times New Roman" w:hAnsi="Times New Roman" w:cs="Times New Roman"/>
          <w:b/>
          <w:sz w:val="24"/>
          <w:szCs w:val="24"/>
          <w:lang w:val="pt-BR"/>
        </w:rPr>
        <w:t>Palavras-chave: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São Paulo</w:t>
      </w:r>
      <w:r w:rsidR="007363B5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comunidades vulneráveis</w:t>
      </w:r>
      <w:r w:rsidR="007363B5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permanência</w:t>
      </w:r>
      <w:r w:rsidR="007363B5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habitação</w:t>
      </w:r>
    </w:p>
    <w:p w14:paraId="65DC7A77" w14:textId="77777777" w:rsidR="007E3252" w:rsidRPr="00366AB0" w:rsidRDefault="007E3252" w:rsidP="0056073A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</w:pPr>
    </w:p>
    <w:p w14:paraId="4DD7CD9C" w14:textId="7D28D98F" w:rsidR="007E3252" w:rsidRPr="007363B5" w:rsidRDefault="007E1C1D" w:rsidP="0056073A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66AB0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5444D1">
        <w:rPr>
          <w:rFonts w:ascii="Times New Roman" w:hAnsi="Times New Roman" w:cs="Times New Roman"/>
          <w:b/>
          <w:i/>
          <w:sz w:val="24"/>
          <w:szCs w:val="24"/>
        </w:rPr>
        <w:t>bstract</w:t>
      </w:r>
      <w:r w:rsidR="005444D1" w:rsidRPr="007363B5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5444D1" w:rsidRPr="007363B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The </w:t>
      </w:r>
      <w:r w:rsidR="007363B5" w:rsidRPr="007363B5">
        <w:rPr>
          <w:rFonts w:ascii="Times New Roman" w:hAnsi="Times New Roman" w:cs="Times New Roman"/>
          <w:iCs/>
          <w:sz w:val="24"/>
          <w:szCs w:val="24"/>
        </w:rPr>
        <w:t>essay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approaches social issues and dynamics involving vulnerable communities in the </w:t>
      </w:r>
      <w:r w:rsidR="007363B5" w:rsidRPr="007363B5">
        <w:rPr>
          <w:rFonts w:ascii="Times New Roman" w:hAnsi="Times New Roman" w:cs="Times New Roman"/>
          <w:iCs/>
          <w:sz w:val="24"/>
          <w:szCs w:val="24"/>
        </w:rPr>
        <w:t>downtown area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of São Paulo, such as the so-called "</w:t>
      </w:r>
      <w:proofErr w:type="spellStart"/>
      <w:r w:rsidRPr="007363B5">
        <w:rPr>
          <w:rFonts w:ascii="Times New Roman" w:hAnsi="Times New Roman" w:cs="Times New Roman"/>
          <w:iCs/>
          <w:sz w:val="24"/>
          <w:szCs w:val="24"/>
        </w:rPr>
        <w:t>Cracolândia</w:t>
      </w:r>
      <w:proofErr w:type="spellEnd"/>
      <w:r w:rsidRPr="007363B5">
        <w:rPr>
          <w:rFonts w:ascii="Times New Roman" w:hAnsi="Times New Roman" w:cs="Times New Roman"/>
          <w:iCs/>
          <w:sz w:val="24"/>
          <w:szCs w:val="24"/>
        </w:rPr>
        <w:t>". The discussion about the urban process that originated these communities, emphas</w:t>
      </w:r>
      <w:r w:rsidR="007363B5">
        <w:rPr>
          <w:rFonts w:ascii="Times New Roman" w:hAnsi="Times New Roman" w:cs="Times New Roman"/>
          <w:iCs/>
          <w:sz w:val="24"/>
          <w:szCs w:val="24"/>
        </w:rPr>
        <w:t>izes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its relationship with the structural conflicts in São Paulo and the logic</w:t>
      </w:r>
      <w:r w:rsidR="00A31EA2">
        <w:rPr>
          <w:rFonts w:ascii="Times New Roman" w:hAnsi="Times New Roman" w:cs="Times New Roman"/>
          <w:iCs/>
          <w:sz w:val="24"/>
          <w:szCs w:val="24"/>
        </w:rPr>
        <w:t>s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of socio-spatial segregation, bringing the housing issue at "Luz", marked by occupations, pensions and tenements, and the ne</w:t>
      </w:r>
      <w:r w:rsidR="00A31EA2">
        <w:rPr>
          <w:rFonts w:ascii="Times New Roman" w:hAnsi="Times New Roman" w:cs="Times New Roman"/>
          <w:iCs/>
          <w:sz w:val="24"/>
          <w:szCs w:val="24"/>
        </w:rPr>
        <w:t xml:space="preserve">ed to 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implement quality social housing </w:t>
      </w:r>
      <w:r w:rsidR="00A31EA2">
        <w:rPr>
          <w:rFonts w:ascii="Times New Roman" w:hAnsi="Times New Roman" w:cs="Times New Roman"/>
          <w:iCs/>
          <w:sz w:val="24"/>
          <w:szCs w:val="24"/>
        </w:rPr>
        <w:t>in the downtown area</w:t>
      </w:r>
      <w:r w:rsidRPr="007363B5">
        <w:rPr>
          <w:rFonts w:ascii="Times New Roman" w:hAnsi="Times New Roman" w:cs="Times New Roman"/>
          <w:iCs/>
          <w:sz w:val="24"/>
          <w:szCs w:val="24"/>
        </w:rPr>
        <w:t>. David Harvey’s concept “Right to the city” was selected as an essential idea to understand the vulnerable communit</w:t>
      </w:r>
      <w:r w:rsidR="00A31EA2">
        <w:rPr>
          <w:rFonts w:ascii="Times New Roman" w:hAnsi="Times New Roman" w:cs="Times New Roman"/>
          <w:iCs/>
          <w:sz w:val="24"/>
          <w:szCs w:val="24"/>
        </w:rPr>
        <w:t>y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dynamics in the city center and their right to housing in this context of conflicts </w:t>
      </w:r>
      <w:r w:rsidR="00A31EA2">
        <w:rPr>
          <w:rFonts w:ascii="Times New Roman" w:hAnsi="Times New Roman" w:cs="Times New Roman"/>
          <w:iCs/>
          <w:sz w:val="24"/>
          <w:szCs w:val="24"/>
        </w:rPr>
        <w:t>among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various agents. The article’s conclusion is an example of a search for the right to the city, an urban and social project by the collective "</w:t>
      </w:r>
      <w:proofErr w:type="spellStart"/>
      <w:r w:rsidRPr="007363B5">
        <w:rPr>
          <w:rFonts w:ascii="Times New Roman" w:hAnsi="Times New Roman" w:cs="Times New Roman"/>
          <w:iCs/>
          <w:sz w:val="24"/>
          <w:szCs w:val="24"/>
        </w:rPr>
        <w:t>Fórum</w:t>
      </w:r>
      <w:proofErr w:type="spellEnd"/>
      <w:r w:rsidRPr="007363B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363B5">
        <w:rPr>
          <w:rFonts w:ascii="Times New Roman" w:hAnsi="Times New Roman" w:cs="Times New Roman"/>
          <w:iCs/>
          <w:sz w:val="24"/>
          <w:szCs w:val="24"/>
        </w:rPr>
        <w:t>Aberto</w:t>
      </w:r>
      <w:proofErr w:type="spellEnd"/>
      <w:r w:rsidRPr="007363B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363B5">
        <w:rPr>
          <w:rFonts w:ascii="Times New Roman" w:hAnsi="Times New Roman" w:cs="Times New Roman"/>
          <w:iCs/>
          <w:sz w:val="24"/>
          <w:szCs w:val="24"/>
        </w:rPr>
        <w:t>Mundaréu</w:t>
      </w:r>
      <w:proofErr w:type="spellEnd"/>
      <w:r w:rsidRPr="007363B5">
        <w:rPr>
          <w:rFonts w:ascii="Times New Roman" w:hAnsi="Times New Roman" w:cs="Times New Roman"/>
          <w:iCs/>
          <w:sz w:val="24"/>
          <w:szCs w:val="24"/>
        </w:rPr>
        <w:t xml:space="preserve"> da Luz", called "Campos </w:t>
      </w:r>
      <w:proofErr w:type="spellStart"/>
      <w:r w:rsidRPr="007363B5">
        <w:rPr>
          <w:rFonts w:ascii="Times New Roman" w:hAnsi="Times New Roman" w:cs="Times New Roman"/>
          <w:iCs/>
          <w:sz w:val="24"/>
          <w:szCs w:val="24"/>
        </w:rPr>
        <w:t>Elíseos</w:t>
      </w:r>
      <w:proofErr w:type="spellEnd"/>
      <w:r w:rsidRPr="007363B5">
        <w:rPr>
          <w:rFonts w:ascii="Times New Roman" w:hAnsi="Times New Roman" w:cs="Times New Roman"/>
          <w:iCs/>
          <w:sz w:val="24"/>
          <w:szCs w:val="24"/>
        </w:rPr>
        <w:t xml:space="preserve"> Vivo". The project proposes, in a participative process, a new way of living and working in the neighborhood, without the violence of removals and demolitions, aiming</w:t>
      </w:r>
      <w:r w:rsidR="00A31EA2">
        <w:rPr>
          <w:rFonts w:ascii="Times New Roman" w:hAnsi="Times New Roman" w:cs="Times New Roman"/>
          <w:iCs/>
          <w:sz w:val="24"/>
          <w:szCs w:val="24"/>
        </w:rPr>
        <w:t xml:space="preserve"> at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the creation of new dynamics and opportunities for vulnerable communities.</w:t>
      </w:r>
    </w:p>
    <w:p w14:paraId="609E5235" w14:textId="78E3E17B" w:rsidR="00F35BEB" w:rsidRPr="007363B5" w:rsidRDefault="007E1C1D" w:rsidP="0056073A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363B5">
        <w:rPr>
          <w:rFonts w:ascii="Times New Roman" w:hAnsi="Times New Roman" w:cs="Times New Roman"/>
          <w:b/>
          <w:iCs/>
          <w:sz w:val="24"/>
          <w:szCs w:val="24"/>
        </w:rPr>
        <w:t>Keywords: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São Paulo</w:t>
      </w:r>
      <w:r w:rsidR="00A31EA2">
        <w:rPr>
          <w:rFonts w:ascii="Times New Roman" w:hAnsi="Times New Roman" w:cs="Times New Roman"/>
          <w:iCs/>
          <w:sz w:val="24"/>
          <w:szCs w:val="24"/>
        </w:rPr>
        <w:t xml:space="preserve">; </w:t>
      </w:r>
      <w:r w:rsidRPr="007363B5">
        <w:rPr>
          <w:rFonts w:ascii="Times New Roman" w:hAnsi="Times New Roman" w:cs="Times New Roman"/>
          <w:iCs/>
          <w:sz w:val="24"/>
          <w:szCs w:val="24"/>
        </w:rPr>
        <w:t>vulnerable communities</w:t>
      </w:r>
      <w:r w:rsidR="00A31EA2">
        <w:rPr>
          <w:rFonts w:ascii="Times New Roman" w:hAnsi="Times New Roman" w:cs="Times New Roman"/>
          <w:iCs/>
          <w:sz w:val="24"/>
          <w:szCs w:val="24"/>
        </w:rPr>
        <w:t>;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permanence</w:t>
      </w:r>
      <w:r w:rsidR="00A31EA2">
        <w:rPr>
          <w:rFonts w:ascii="Times New Roman" w:hAnsi="Times New Roman" w:cs="Times New Roman"/>
          <w:iCs/>
          <w:sz w:val="24"/>
          <w:szCs w:val="24"/>
        </w:rPr>
        <w:t>;</w:t>
      </w:r>
      <w:r w:rsidRPr="007363B5">
        <w:rPr>
          <w:rFonts w:ascii="Times New Roman" w:hAnsi="Times New Roman" w:cs="Times New Roman"/>
          <w:iCs/>
          <w:sz w:val="24"/>
          <w:szCs w:val="24"/>
        </w:rPr>
        <w:t xml:space="preserve"> housing</w:t>
      </w:r>
      <w:r w:rsidR="007B03A2" w:rsidRPr="007363B5"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77CEA666" w14:textId="6EE5B914" w:rsidR="00DA42F3" w:rsidRDefault="00A24E15" w:rsidP="00A24E15">
      <w:pPr>
        <w:pStyle w:val="ListParagraph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334F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</w:t>
      </w:r>
      <w:r w:rsidR="00DA42F3" w:rsidRPr="00366AB0">
        <w:rPr>
          <w:rFonts w:ascii="Times New Roman" w:hAnsi="Times New Roman" w:cs="Times New Roman"/>
          <w:b/>
          <w:sz w:val="24"/>
          <w:szCs w:val="24"/>
          <w:lang w:val="pt-BR"/>
        </w:rPr>
        <w:t xml:space="preserve">O contexto da região central da cidade de São Paulo </w:t>
      </w:r>
    </w:p>
    <w:p w14:paraId="1CD71689" w14:textId="77777777" w:rsidR="00A24E15" w:rsidRPr="00C85CA5" w:rsidRDefault="00A24E15" w:rsidP="00A24E15">
      <w:pPr>
        <w:pStyle w:val="ListParagraph"/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DD2A172" w14:textId="6B8C03CA" w:rsidR="007E3252" w:rsidRPr="00366AB0" w:rsidRDefault="007E1C1D" w:rsidP="00366AB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Na madrugada do dia 01 de maio de 2018, um edifício situado no Largo do Paissandu, centro de São Paulo, desabou devido a um incêndio. O edifício, que já foi sede da Polícia Federal e hoje é uma propriedade abandonada do governo federal, era habitado por aproximadamente 90 famílias de ocupantes, que ficaram desabrigados mais uma vez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>Fi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>g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 xml:space="preserve">ura 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>1)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4887F23" w14:textId="1184E0FC" w:rsidR="007E3252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Na Nota Pública sobre o Desabamento do Edifício Incendiado no Largo do Paissandu, o Instituto Polis afirmou que:</w:t>
      </w:r>
    </w:p>
    <w:p w14:paraId="31B7E855" w14:textId="77777777" w:rsidR="00B92560" w:rsidRPr="00366AB0" w:rsidRDefault="00B92560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3822AB2" w14:textId="594E1E53" w:rsidR="007E3252" w:rsidRPr="00A31EA2" w:rsidRDefault="007E1C1D" w:rsidP="00A31EA2">
      <w:pPr>
        <w:spacing w:line="240" w:lineRule="auto"/>
        <w:ind w:left="2260"/>
        <w:jc w:val="both"/>
        <w:rPr>
          <w:rFonts w:ascii="Times New Roman" w:hAnsi="Times New Roman" w:cs="Times New Roman"/>
          <w:sz w:val="20"/>
          <w:szCs w:val="20"/>
          <w:highlight w:val="white"/>
        </w:rPr>
      </w:pPr>
      <w:r w:rsidRPr="00A31EA2">
        <w:rPr>
          <w:rFonts w:ascii="Times New Roman" w:hAnsi="Times New Roman" w:cs="Times New Roman"/>
          <w:sz w:val="20"/>
          <w:szCs w:val="20"/>
          <w:highlight w:val="white"/>
          <w:lang w:val="pt-BR"/>
        </w:rPr>
        <w:t xml:space="preserve">As famílias que vivem em ocupações são vítimas do descaso, da irresponsabilidade do Estado e da especulação imobiliária – que impõe alto custo de habitação, sobretudo nas áreas centrais. Não é a primeira e não será a última tragédia, enquanto o investimento público para o enfrentamento do problema habitacional não for significativo e comprometido com o acesso à moradia como um direito. </w:t>
      </w:r>
      <w:r w:rsidRPr="00A31EA2">
        <w:rPr>
          <w:rFonts w:ascii="Times New Roman" w:hAnsi="Times New Roman" w:cs="Times New Roman"/>
          <w:sz w:val="20"/>
          <w:szCs w:val="20"/>
          <w:highlight w:val="white"/>
        </w:rPr>
        <w:t>(Instituto Polis,</w:t>
      </w:r>
      <w:r w:rsidR="004B123D" w:rsidRPr="00A31EA2">
        <w:rPr>
          <w:rFonts w:ascii="Times New Roman" w:hAnsi="Times New Roman" w:cs="Times New Roman"/>
          <w:sz w:val="20"/>
          <w:szCs w:val="20"/>
          <w:highlight w:val="white"/>
        </w:rPr>
        <w:t xml:space="preserve"> 2</w:t>
      </w:r>
      <w:r w:rsidRPr="00A31EA2">
        <w:rPr>
          <w:rFonts w:ascii="Times New Roman" w:hAnsi="Times New Roman" w:cs="Times New Roman"/>
          <w:sz w:val="20"/>
          <w:szCs w:val="20"/>
          <w:highlight w:val="white"/>
        </w:rPr>
        <w:t xml:space="preserve"> de </w:t>
      </w:r>
      <w:proofErr w:type="spellStart"/>
      <w:r w:rsidRPr="00A31EA2">
        <w:rPr>
          <w:rFonts w:ascii="Times New Roman" w:hAnsi="Times New Roman" w:cs="Times New Roman"/>
          <w:sz w:val="20"/>
          <w:szCs w:val="20"/>
          <w:highlight w:val="white"/>
        </w:rPr>
        <w:t>maio</w:t>
      </w:r>
      <w:proofErr w:type="spellEnd"/>
      <w:r w:rsidRPr="00A31EA2">
        <w:rPr>
          <w:rFonts w:ascii="Times New Roman" w:hAnsi="Times New Roman" w:cs="Times New Roman"/>
          <w:sz w:val="20"/>
          <w:szCs w:val="20"/>
          <w:highlight w:val="white"/>
        </w:rPr>
        <w:t xml:space="preserve"> de 2018.)</w:t>
      </w:r>
    </w:p>
    <w:p w14:paraId="24EE2CB2" w14:textId="77777777" w:rsidR="00A31EA2" w:rsidRPr="0056073A" w:rsidRDefault="00A31EA2" w:rsidP="00A31EA2">
      <w:pPr>
        <w:spacing w:line="240" w:lineRule="auto"/>
        <w:ind w:left="2260"/>
        <w:jc w:val="both"/>
        <w:rPr>
          <w:rFonts w:ascii="Times New Roman" w:hAnsi="Times New Roman" w:cs="Times New Roman"/>
          <w:highlight w:val="white"/>
        </w:rPr>
      </w:pPr>
    </w:p>
    <w:p w14:paraId="53ACC55B" w14:textId="560FACF2" w:rsidR="007E3252" w:rsidRPr="00366AB0" w:rsidRDefault="007E1C1D" w:rsidP="00C618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AB0"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114300" distB="114300" distL="114300" distR="114300" wp14:anchorId="0F36A1CE" wp14:editId="423DC086">
            <wp:extent cx="5528604" cy="3685736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341" cy="3688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5E447" w14:textId="5D2F1CDE" w:rsidR="00361C3C" w:rsidRPr="00A31EA2" w:rsidRDefault="00C85CA5" w:rsidP="00361C3C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A31EA2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1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="00361C3C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:</w:t>
      </w:r>
      <w:r w:rsidR="00053AF6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 </w:t>
      </w:r>
      <w:r w:rsidR="007E1C1D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Ruínas do desabamento no Largo Paissandu</w:t>
      </w:r>
    </w:p>
    <w:p w14:paraId="38FFC59B" w14:textId="1C736E2F" w:rsidR="007E3252" w:rsidRPr="00A31EA2" w:rsidRDefault="007E1C1D" w:rsidP="00361C3C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Fonte: http://agenciabrasil.ebc.com.br/geral/noticia/2018-05/bombeiros-encerram-buscas-em-escombros-no-largo-do-paissandu</w:t>
      </w:r>
    </w:p>
    <w:p w14:paraId="474C9184" w14:textId="77777777" w:rsidR="007E3252" w:rsidRPr="00366AB0" w:rsidRDefault="007E3252" w:rsidP="00366AB0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5F77565C" w14:textId="7EAE8E1C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Ao se 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olhar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a questão da habitação no centro, do ponto de vista do ideal de cidade compacta, 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>observa-se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que 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es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a área 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dotada de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infraestrutura de transporte, comércio e serviço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>, e por consequência, com oferta de emprego e renda,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 deveria haver possibilidades de moradia acessíveis à população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de baixa renda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como forma de reduzir percursos e por consequência promover melhorias sócio ambientais. Mas o que se </w:t>
      </w:r>
      <w:r w:rsidR="00175573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944C1D" w:rsidRPr="00366AB0">
        <w:rPr>
          <w:rFonts w:ascii="Times New Roman" w:hAnsi="Times New Roman" w:cs="Times New Roman"/>
          <w:sz w:val="24"/>
          <w:szCs w:val="24"/>
          <w:lang w:val="pt-BR"/>
        </w:rPr>
        <w:t>bserva é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que essa população permanece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colocada às margens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dos </w:t>
      </w:r>
      <w:r w:rsidR="00944C1D" w:rsidRPr="00366AB0">
        <w:rPr>
          <w:rFonts w:ascii="Times New Roman" w:hAnsi="Times New Roman" w:cs="Times New Roman"/>
          <w:sz w:val="24"/>
          <w:szCs w:val="24"/>
          <w:lang w:val="pt-BR"/>
        </w:rPr>
        <w:t>interesses do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mercado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imobiliári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e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tem uma presença retórica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C5496" w:rsidRPr="00366AB0">
        <w:rPr>
          <w:rFonts w:ascii="Times New Roman" w:hAnsi="Times New Roman" w:cs="Times New Roman"/>
          <w:sz w:val="24"/>
          <w:szCs w:val="24"/>
          <w:lang w:val="pt-BR"/>
        </w:rPr>
        <w:t>n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os principais planos urbanos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>, como é o caso da demarcação de Zonas de Interesse Social (ZEIS) na região dos Campos Elíseos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5B3FED5" w14:textId="4733AAD4" w:rsidR="0013060D" w:rsidRPr="00366AB0" w:rsidRDefault="0013060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Essa tragédia ressalta a importância da discussão e atuação sobre a questão urbana em São Paulo, principalmente no centro da cidade, onde existem tantos imóveis vacantes ou que não cumprem uma função social e por outro lado, a necessidade de produção de habitação para a população de baixa renda. Segundo o caderno do Plano Municipal de </w:t>
      </w:r>
      <w:r w:rsidR="004452FE" w:rsidRPr="00366AB0">
        <w:rPr>
          <w:rFonts w:ascii="Times New Roman" w:hAnsi="Times New Roman" w:cs="Times New Roman"/>
          <w:sz w:val="24"/>
          <w:szCs w:val="24"/>
          <w:lang w:val="pt-BR"/>
        </w:rPr>
        <w:t>Habitação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de São Paulo</w:t>
      </w:r>
      <w:r w:rsidR="0032426E" w:rsidRPr="00366AB0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1"/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, de </w:t>
      </w:r>
      <w:r w:rsidR="00D31279" w:rsidRPr="00366AB0">
        <w:rPr>
          <w:rFonts w:ascii="Times New Roman" w:hAnsi="Times New Roman" w:cs="Times New Roman"/>
          <w:sz w:val="24"/>
          <w:szCs w:val="24"/>
          <w:lang w:val="pt-BR"/>
        </w:rPr>
        <w:t>junho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de 2016, a Prefeitura de São Paulo já notificou cerca de 1000 imóveis no centro da cidade sob pena de aumento anual do IPTU e, após 5 anos, de desapropriação com títulos da dívida pública para fins de moradia.</w:t>
      </w:r>
    </w:p>
    <w:p w14:paraId="6EAEC5A2" w14:textId="7D791140" w:rsidR="00175573" w:rsidRDefault="007E1C1D" w:rsidP="00A31EA2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O Caderno do Plano Municipal de Habitação propõe uma ação integrada na área central, que envolve reabilitação de edifícios para Locação Social, e outras modalidades como Acolhimento Institucional Intensivo e o Aluguel de Imóveis Privados para Abrigamento Transitório. Além disso, sugere-se a regularização do mercado privado de aluguéis para</w:t>
      </w:r>
      <w:r w:rsidR="004452FE">
        <w:rPr>
          <w:rFonts w:ascii="Times New Roman" w:hAnsi="Times New Roman" w:cs="Times New Roman"/>
          <w:sz w:val="24"/>
          <w:szCs w:val="24"/>
          <w:lang w:val="pt-BR"/>
        </w:rPr>
        <w:t xml:space="preserve"> garantir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preços mais acessíveis nessa área.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Para combater a ociosidade dos edifícios do centro, utiliza-se o PEUC (Parcelamento, Edificação e Utilização Compulsórios) como instrumento que estimula que as propriedades urbanas cumpram sua “função social”, ou seja, que seu uso seja compatível com a infraestrutura, equipamentos e serviços públicos disponíveis. </w:t>
      </w:r>
    </w:p>
    <w:p w14:paraId="082747A9" w14:textId="131EF2AC" w:rsidR="007E3252" w:rsidRPr="00366AB0" w:rsidRDefault="000D2692" w:rsidP="00366AB0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7E1C1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presença de comunidades vulneráveis no centro de São Paulo, especialmente a “Cracolândia”</w:t>
      </w:r>
      <w:r w:rsidR="00A86D5D" w:rsidRPr="00366AB0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2"/>
      </w:r>
      <w:r w:rsidR="007E1C1D" w:rsidRPr="00366AB0">
        <w:rPr>
          <w:rFonts w:ascii="Times New Roman" w:hAnsi="Times New Roman" w:cs="Times New Roman"/>
          <w:sz w:val="24"/>
          <w:szCs w:val="24"/>
          <w:lang w:val="pt-BR"/>
        </w:rPr>
        <w:t>, é um fenômeno marcante na região da Luz, por estabelecer relações muito específicas com o território e</w:t>
      </w:r>
      <w:r w:rsidR="007302A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2D81">
        <w:rPr>
          <w:rFonts w:ascii="Times New Roman" w:hAnsi="Times New Roman" w:cs="Times New Roman"/>
          <w:sz w:val="24"/>
          <w:szCs w:val="24"/>
          <w:lang w:val="pt-BR"/>
        </w:rPr>
        <w:t xml:space="preserve">também </w:t>
      </w:r>
      <w:r w:rsidR="007302A3">
        <w:rPr>
          <w:rFonts w:ascii="Times New Roman" w:hAnsi="Times New Roman" w:cs="Times New Roman"/>
          <w:sz w:val="24"/>
          <w:szCs w:val="24"/>
          <w:lang w:val="pt-BR"/>
        </w:rPr>
        <w:t>por</w:t>
      </w:r>
      <w:r w:rsidR="007E1C1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chamar a atenção da mídia para os conflitos violentos e remoções sistemáticas, o que a faz ficar constantemente em evidência.</w:t>
      </w:r>
      <w:r w:rsidR="0017557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65F4E4C0" w14:textId="3CFEC31A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O termo “territorialidade itinerante” foi introduzido por Frúgoli Jr. em “Pluralidade Urbana em São Paulo – vulnerabilidade, marginalidade, ativismos” em 2016 para descrever a imprecisão e 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 xml:space="preserve">as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variabilidades geográficas</w:t>
      </w:r>
      <w:r w:rsidR="00944C1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>da localização d</w:t>
      </w:r>
      <w:r w:rsidR="00B448E4">
        <w:rPr>
          <w:rFonts w:ascii="Times New Roman" w:hAnsi="Times New Roman" w:cs="Times New Roman"/>
          <w:sz w:val="24"/>
          <w:szCs w:val="24"/>
          <w:lang w:val="pt-BR"/>
        </w:rPr>
        <w:t>as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populações presentes nessa região da cidade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, que foi se alterando e se deslocando pelos bairros da Luz, Sta. Ifigênia, Campos Elísios e proximidades nas últimas duas décadas. Essa itinerância se relaciona “à quantidade de pessoas que ali chegam e permanecem, articuladas ao mundo das ruas, dos albergues e também das </w:t>
      </w:r>
      <w:r w:rsidRPr="00366AB0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prisões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” (FRÚGOLI, 2016, p.256), que fazem parte do que é popularmente chamado de fluxo, destacando sua mobilidade e possibilidade de expansão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>Figura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 xml:space="preserve"> 2)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EF88917" w14:textId="1AA92E2A" w:rsidR="007E3252" w:rsidRPr="00366AB0" w:rsidRDefault="00B448E4" w:rsidP="00366A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675CB3D5" wp14:editId="678FE0D6">
            <wp:extent cx="5972175" cy="291338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6356A" w14:textId="1C68D1AB" w:rsidR="00361C3C" w:rsidRPr="00A31EA2" w:rsidRDefault="00361C3C" w:rsidP="00361C3C">
      <w:pPr>
        <w:pStyle w:val="Caption"/>
        <w:spacing w:after="2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A31EA2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2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: </w:t>
      </w:r>
      <w:r w:rsidR="007E1C1D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Vista aérea do fluxo da Cracolândia</w:t>
      </w:r>
    </w:p>
    <w:p w14:paraId="110B7EEB" w14:textId="11FBE72C" w:rsidR="00361C3C" w:rsidRPr="00A31EA2" w:rsidRDefault="00361C3C" w:rsidP="00361C3C">
      <w:pPr>
        <w:pStyle w:val="Caption"/>
        <w:spacing w:after="2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Fonte:https://noticias.r7.com/sao-paulo/ex-traficante-fala-sobre-consumo-e-venda-de-drogas-na-cracolandia-vi-umas-80-pessoas-morrerem-ali-10072017</w:t>
      </w:r>
    </w:p>
    <w:p w14:paraId="775B3F9C" w14:textId="77777777" w:rsidR="004E057C" w:rsidRPr="00366AB0" w:rsidRDefault="004E057C" w:rsidP="00366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2A44AC6" w14:textId="04E55002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No texto de </w:t>
      </w:r>
      <w:proofErr w:type="spellStart"/>
      <w:r w:rsidRPr="00366AB0">
        <w:rPr>
          <w:rFonts w:ascii="Times New Roman" w:hAnsi="Times New Roman" w:cs="Times New Roman"/>
          <w:sz w:val="24"/>
          <w:szCs w:val="24"/>
          <w:lang w:val="pt-BR"/>
        </w:rPr>
        <w:t>Taniele</w:t>
      </w:r>
      <w:proofErr w:type="spellEnd"/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Rui (2016), “Fluxos de uma territorialidade: duas décadas de Cracolândia”, a autora ressalta a presença de uma lógica urbana que se suporta na segregação sócio espacial e os fluxos que geram esse tipo de fenômeno urbano, como por exemplo a especulação imobiliária</w:t>
      </w:r>
      <w:r w:rsidR="00B448E4">
        <w:rPr>
          <w:rFonts w:ascii="Times New Roman" w:hAnsi="Times New Roman" w:cs="Times New Roman"/>
          <w:sz w:val="24"/>
          <w:szCs w:val="24"/>
          <w:lang w:val="pt-BR"/>
        </w:rPr>
        <w:t xml:space="preserve">. Ela afirma que esse fenômeno pode ser melhor compreendido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por meio das relações que tece com toda a cidade de São Paulo</w:t>
      </w:r>
      <w:r w:rsidR="0069082F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Assim, ela argumenta contra a ideia que o surgimento dessas dinâmicas são fenômenos à parte na cidade, ou casos isolados: “A Cracolândia está coligada à dinâmica de reconfiguração das centralidades, mas também da gestão da violência nas periferias da metrópole” (RUI, 2016, p.226).</w:t>
      </w:r>
    </w:p>
    <w:p w14:paraId="73D52E39" w14:textId="5CB2F06E" w:rsidR="007E3252" w:rsidRPr="00366AB0" w:rsidRDefault="007E1C1D" w:rsidP="00366AB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Para chegar a essas conclusões, 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>Rui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(2016) apresenta o histórico do uso de crack na cidade de São Paulo, inicialmente detectado na periferia leste no bairro de São Mateus em meados de 1990, já marcado por conflitos entre a polícia e os traficantes e o homicídio de crianças e adolescentes usuários da droga. O desemprego estrutural e a informalização dos mercados contribuíram também para o aumento da criminalidade nessas áreas, e consequentemente, para o deslocamento espacial dos consumidores para outras regiões periféricas e para o centro, provavelmente para fugir da possibilidade concreta de violência e assassinatos nos bairros de origem.</w:t>
      </w:r>
    </w:p>
    <w:p w14:paraId="545B2590" w14:textId="148F98AF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Pode-se perceber que, durante esse processo, 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>ess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região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chamada “Boca do Lixo” de São Paulo em meados de 1980</w:t>
      </w:r>
      <w:r w:rsidR="00A86D5D" w:rsidRPr="00366AB0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foi gradualmente sendo conhecida como </w:t>
      </w:r>
      <w:r w:rsidR="00A60DB6">
        <w:rPr>
          <w:rFonts w:ascii="Times New Roman" w:hAnsi="Times New Roman" w:cs="Times New Roman"/>
          <w:sz w:val="24"/>
          <w:szCs w:val="24"/>
          <w:lang w:val="pt-BR"/>
        </w:rPr>
        <w:t>“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Cracolândia</w:t>
      </w:r>
      <w:r w:rsidR="00A60DB6">
        <w:rPr>
          <w:rFonts w:ascii="Times New Roman" w:hAnsi="Times New Roman" w:cs="Times New Roman"/>
          <w:sz w:val="24"/>
          <w:szCs w:val="24"/>
          <w:lang w:val="pt-BR"/>
        </w:rPr>
        <w:t>”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com a chegada do crack. A área que já era conhecida como “Região Moral” de São Paulo, definida por Robert Park como “zona dos vícios”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onde acontece a contiguidade entre marginalidades (como prostituição, consumo de drogas e jogos de azar), </w:t>
      </w:r>
      <w:r w:rsidR="00A60DB6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foi se degradando </w:t>
      </w:r>
      <w:r w:rsidR="00A60DB6">
        <w:rPr>
          <w:rFonts w:ascii="Times New Roman" w:hAnsi="Times New Roman" w:cs="Times New Roman"/>
          <w:sz w:val="24"/>
          <w:szCs w:val="24"/>
          <w:lang w:val="pt-BR"/>
        </w:rPr>
        <w:t xml:space="preserve">ainda mais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com o processo de abandono do centro e transferência das atividades financeiras para a Av</w:t>
      </w:r>
      <w:r w:rsidR="00F05D62">
        <w:rPr>
          <w:rFonts w:ascii="Times New Roman" w:hAnsi="Times New Roman" w:cs="Times New Roman"/>
          <w:sz w:val="24"/>
          <w:szCs w:val="24"/>
          <w:lang w:val="pt-BR"/>
        </w:rPr>
        <w:t>enida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Paulista.</w:t>
      </w:r>
    </w:p>
    <w:p w14:paraId="47BCE299" w14:textId="52C9ADB1" w:rsidR="004E057C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Essa região do centro de São Paulo hoje em dia atrai vendedores e usuários de drogas, além de moradores de rua, pela facilidade de acesso aos serviços públicos como de transporte, possibilidade de pequenos ganhos através de empregos informais, e relativa segurança. Devido a esses fluxos migratórios periferia-centro, acaba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se criando uma série de moradias irregulares, como os cortiços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 xml:space="preserve">Figura 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>3)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44DE6E4" w14:textId="77777777" w:rsidR="007E3252" w:rsidRPr="00366AB0" w:rsidRDefault="007E1C1D" w:rsidP="00A60D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AB0"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114300" distB="114300" distL="114300" distR="114300" wp14:anchorId="044B9407" wp14:editId="595B43FE">
            <wp:extent cx="4401879" cy="2926781"/>
            <wp:effectExtent l="0" t="0" r="508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342" cy="2938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11A930" w14:textId="016648FB" w:rsidR="00361C3C" w:rsidRPr="00A31EA2" w:rsidRDefault="00361C3C" w:rsidP="00361C3C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A31EA2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3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: </w:t>
      </w:r>
      <w:r w:rsidR="00053AF6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 </w:t>
      </w:r>
      <w:r w:rsidR="007E1C1D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Interior de um cortiço no centro de São Paulo</w:t>
      </w:r>
    </w:p>
    <w:p w14:paraId="2B9F9478" w14:textId="57985CA7" w:rsidR="007E3252" w:rsidRPr="00A31EA2" w:rsidRDefault="00361C3C" w:rsidP="00847A6A">
      <w:pPr>
        <w:pStyle w:val="Caption"/>
        <w:keepNext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lastRenderedPageBreak/>
        <w:t xml:space="preserve">Fonte: </w:t>
      </w:r>
      <w:r w:rsidR="00847A6A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https://vejasp.abril.com.br/cidades/cracolandia-sp-bracos-abertos/</w:t>
      </w:r>
    </w:p>
    <w:p w14:paraId="55851B82" w14:textId="77777777" w:rsidR="00847A6A" w:rsidRPr="00847A6A" w:rsidRDefault="00847A6A" w:rsidP="00847A6A">
      <w:pPr>
        <w:rPr>
          <w:lang w:val="pt-BR"/>
        </w:rPr>
      </w:pPr>
    </w:p>
    <w:p w14:paraId="10F935CF" w14:textId="1E193984" w:rsidR="007E3252" w:rsidRPr="00A31EA2" w:rsidRDefault="007E1C1D" w:rsidP="00A31EA2">
      <w:pPr>
        <w:spacing w:line="36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Sendo assim, é possível perceber </w:t>
      </w:r>
      <w:r w:rsidR="004C24F5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="00A836EC" w:rsidRPr="00366AB0">
        <w:rPr>
          <w:rFonts w:ascii="Times New Roman" w:hAnsi="Times New Roman" w:cs="Times New Roman"/>
          <w:sz w:val="24"/>
          <w:szCs w:val="24"/>
          <w:lang w:val="pt-BR"/>
        </w:rPr>
        <w:t>estreita relação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E057C" w:rsidRPr="00366AB0">
        <w:rPr>
          <w:rFonts w:ascii="Times New Roman" w:hAnsi="Times New Roman" w:cs="Times New Roman"/>
          <w:sz w:val="24"/>
          <w:szCs w:val="24"/>
          <w:lang w:val="pt-BR"/>
        </w:rPr>
        <w:t>da origem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da “Cracolândia” com o processo de abandono do Centro de São Paulo, resultado do surgimento de novas centralidades na cidade</w:t>
      </w:r>
      <w:r w:rsidR="00F35BEB" w:rsidRPr="00366AB0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3"/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. Consequentemente, diversos planos urbanos foram </w:t>
      </w:r>
      <w:r w:rsidR="00F35BEB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propostos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para “recuperar” essa área </w:t>
      </w:r>
      <w:r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que se tornou um ponto de conflitos de interesses e ações políticas.</w:t>
      </w:r>
      <w:r w:rsidR="00091617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="00A313E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Devido a essas disputas por território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a </w:t>
      </w:r>
      <w:r w:rsidR="00B55ACC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população mais pobre e as iniciativas de 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habitação de interesse social fo</w:t>
      </w:r>
      <w:r w:rsidR="00B55ACC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ram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sendo afastada</w:t>
      </w:r>
      <w:r w:rsidR="00A313E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s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do centro histórico da </w:t>
      </w:r>
      <w:r w:rsidR="00B55ACC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cidade, e os HIS se tornaram 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grandes complexos de prédios </w:t>
      </w:r>
      <w:r w:rsidR="00B55ACC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construídos 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em áreas com pouca infraestrutura e oportunidades de trabalho, cultura e lazer. O conceito de Direito à Cidade, de Harvey (2014), será introduzido pos</w:t>
      </w:r>
      <w:r w:rsidR="00B55ACC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t</w:t>
      </w:r>
      <w:r w:rsidR="008D5BAF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eriormente </w:t>
      </w:r>
      <w:r w:rsidR="00B55ACC" w:rsidRPr="0056073A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como uma argumentação que vai contra esse</w:t>
      </w:r>
      <w:r w:rsidR="00A313E7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s processos que geram </w:t>
      </w:r>
      <w:r w:rsidR="00A313E7" w:rsidRPr="00366AB0">
        <w:rPr>
          <w:rFonts w:ascii="Times New Roman" w:hAnsi="Times New Roman" w:cs="Times New Roman"/>
          <w:sz w:val="24"/>
          <w:szCs w:val="24"/>
          <w:lang w:val="pt-BR"/>
        </w:rPr>
        <w:t>segregação socioespacial</w:t>
      </w:r>
      <w:r w:rsidR="00A313E7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49CA292" w14:textId="61D29D88" w:rsidR="00516513" w:rsidRPr="00366AB0" w:rsidRDefault="008B79B9" w:rsidP="00A31EA2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Esses planos partem da constatação que a região central é dotada de um amplo sistema de infraestrutura urbana, atendida por uma rede diversificada de transporte público através de trens, metrô e ônibus urbanos, e concentra intensa atividade comercial e de serviços.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ab/>
        <w:t>O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Plano Diretor Estratégico de 2014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(PDE 2014 / Lei Municipal 16.050/14)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definiu e </w:t>
      </w:r>
      <w:r w:rsidR="00944C1D" w:rsidRPr="00366AB0">
        <w:rPr>
          <w:rFonts w:ascii="Times New Roman" w:hAnsi="Times New Roman" w:cs="Times New Roman"/>
          <w:sz w:val="24"/>
          <w:szCs w:val="24"/>
          <w:lang w:val="pt-BR"/>
        </w:rPr>
        <w:t>determinou Eixos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de Estruturação da Transformação Urbana para permitir que a cidade se restruture ao longo de seus eixos de mobilidade urbana, qualificando as centralidades existentes e estimulando a criação de novas centralidades. Essa estratégia apoia-se em instrumentos urbanísticos que adotam regras de uso e ocupação e aplicação de incentivos exatamente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em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regiões dotadas de infraestrutura e de urbanização consolidada. </w:t>
      </w:r>
    </w:p>
    <w:p w14:paraId="0D793EDF" w14:textId="62211B46" w:rsidR="00516513" w:rsidRPr="00366AB0" w:rsidRDefault="008B79B9" w:rsidP="00A31EA2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Esses instrumentos originaram-se da adoção de três premissas: 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>o 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densamento construtivo e habitacional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otimizando o uso da terra em áreas bem localizadas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 transformação urbana articulada à mobilidade e definida no entorno dos sistemas de transporte coletivo de alta e média capacidade e a criação de espaços públicos humanizados, por meio de incentivos urbanísticos e fiscais para implantação de edifícios de uso misto, fachadas ativas, espaços para fruição pública e de largura mínima das calçadas, qualificando os espaços públicos na área de influência desses Eixos.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Adotam também as Operações Urbanas (OUs), instrumentos de intervenção pública, previstos no Estatuto da Cidade (Lei Federal 10.257 /2001) e no Plano Diretor Estratégico (PDE 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>2014)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51651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que estabelecem regras urbanísticas específicas, como incentivos à construção de moradias próximas ao eixo de transporte e requalificações do meio urbano para determinada área da cidade.</w:t>
      </w:r>
    </w:p>
    <w:p w14:paraId="0565C178" w14:textId="560D9B3E" w:rsidR="00847A6A" w:rsidRDefault="00516513" w:rsidP="00366AB0">
      <w:pPr>
        <w:spacing w:line="360" w:lineRule="auto"/>
        <w:ind w:firstLine="700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ab/>
        <w:t>Dentre as OUs que estão em discussão há a Operação Urbana Centro</w:t>
      </w:r>
      <w:r w:rsidR="003E531A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4"/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criada com o objetivo de promover a melhoria e a revalorização da área central, para atrair investimentos imobiliários, turísticos e culturais e reverter seu processo de deterioração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 xml:space="preserve"> (Fig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 xml:space="preserve">ura 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>4)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0F77EC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Ela a</w:t>
      </w:r>
      <w:r w:rsidR="000F77EC" w:rsidRPr="00366AB0">
        <w:rPr>
          <w:rFonts w:ascii="Times New Roman" w:hAnsi="Times New Roman" w:cs="Times New Roman"/>
          <w:sz w:val="24"/>
          <w:szCs w:val="24"/>
          <w:lang w:val="pt-BR"/>
        </w:rPr>
        <w:t>brange uma área de 663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0F77EC" w:rsidRPr="00366AB0">
        <w:rPr>
          <w:rFonts w:ascii="Times New Roman" w:hAnsi="Times New Roman" w:cs="Times New Roman"/>
          <w:sz w:val="24"/>
          <w:szCs w:val="24"/>
          <w:lang w:val="pt-BR"/>
        </w:rPr>
        <w:t>ha das regiões conhecidas como Centro Velho e Centro Novo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0F77EC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sendo que nessa segunda constam os bairros dos Campos Elíseos e da Luz.</w:t>
      </w:r>
      <w:r w:rsidR="00847A6A" w:rsidRPr="00847A6A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</w:t>
      </w:r>
    </w:p>
    <w:p w14:paraId="3A1F7742" w14:textId="402967F2" w:rsidR="00516513" w:rsidRPr="00847A6A" w:rsidRDefault="00433A7D" w:rsidP="00847A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0F85975E" wp14:editId="2BF0BA29">
            <wp:extent cx="5947200" cy="2998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20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C70E" w14:textId="63141397" w:rsidR="00847A6A" w:rsidRPr="00A31EA2" w:rsidRDefault="00847A6A" w:rsidP="00847A6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A31EA2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4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: OU Centro</w:t>
      </w:r>
      <w:r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br/>
      </w:r>
      <w:r w:rsidRPr="00A31EA2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Prefeitura Municipal de São Paulo. Gestão Urbana.</w:t>
      </w:r>
    </w:p>
    <w:p w14:paraId="4567BE72" w14:textId="63097010" w:rsidR="000F77EC" w:rsidRDefault="000F77EC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Para sua viabilização as OUs buscam atrair investimentos privados, como também promovem intervenções com recursos públicos. Nesse contexto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 região da Luz foi </w:t>
      </w:r>
      <w:r w:rsidR="00EB4F4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uma das áreas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eleita</w:t>
      </w:r>
      <w:r w:rsidR="00EB4F4D" w:rsidRPr="00366AB0">
        <w:rPr>
          <w:rFonts w:ascii="Times New Roman" w:hAnsi="Times New Roman" w:cs="Times New Roman"/>
          <w:sz w:val="24"/>
          <w:szCs w:val="24"/>
          <w:lang w:val="pt-BR"/>
        </w:rPr>
        <w:t>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para receber essas intervenções através de desapropriações para execução do Projeto Nova Luz </w:t>
      </w:r>
      <w:r w:rsidR="00EB4F4D" w:rsidRPr="00366AB0">
        <w:rPr>
          <w:rFonts w:ascii="Times New Roman" w:hAnsi="Times New Roman" w:cs="Times New Roman"/>
          <w:sz w:val="24"/>
          <w:szCs w:val="24"/>
          <w:lang w:val="pt-BR"/>
        </w:rPr>
        <w:t>(Fig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 xml:space="preserve">ura </w:t>
      </w:r>
      <w:r w:rsidR="00182390">
        <w:rPr>
          <w:rFonts w:ascii="Times New Roman" w:hAnsi="Times New Roman" w:cs="Times New Roman"/>
          <w:sz w:val="24"/>
          <w:szCs w:val="24"/>
          <w:lang w:val="pt-BR"/>
        </w:rPr>
        <w:t>5</w:t>
      </w:r>
      <w:r w:rsidR="00EB4F4D" w:rsidRPr="00366AB0">
        <w:rPr>
          <w:rFonts w:ascii="Times New Roman" w:hAnsi="Times New Roman" w:cs="Times New Roman"/>
          <w:sz w:val="24"/>
          <w:szCs w:val="24"/>
          <w:lang w:val="pt-BR"/>
        </w:rPr>
        <w:t>)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60354597" w14:textId="0036381B" w:rsidR="009B6128" w:rsidRPr="00847A6A" w:rsidRDefault="00123C89" w:rsidP="009B6128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pt-BR"/>
        </w:rPr>
      </w:pPr>
      <w:r>
        <w:rPr>
          <w:i w:val="0"/>
          <w:noProof/>
          <w:color w:val="000000" w:themeColor="text1"/>
          <w:lang w:val="pt-BR"/>
        </w:rPr>
        <w:lastRenderedPageBreak/>
        <w:drawing>
          <wp:inline distT="0" distB="0" distL="0" distR="0" wp14:anchorId="3B130D05" wp14:editId="17A4D9C1">
            <wp:extent cx="5972175" cy="42830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128" w:rsidRPr="00847A6A">
        <w:rPr>
          <w:i w:val="0"/>
          <w:color w:val="000000" w:themeColor="text1"/>
          <w:lang w:val="pt-BR"/>
        </w:rPr>
        <w:t xml:space="preserve"> </w:t>
      </w:r>
      <w:r w:rsidR="009B6128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Figura 5: Operação Urbana Centro</w:t>
      </w:r>
      <w:r w:rsidR="009B6128" w:rsidRPr="00A31EA2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br/>
        <w:t>Fonte: Prefeitura Municipal de São Paulo. Gestão Urbana.</w:t>
      </w:r>
    </w:p>
    <w:p w14:paraId="541C6400" w14:textId="77777777" w:rsidR="009B6128" w:rsidRDefault="009B6128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8FCF2EB" w14:textId="01B496B5" w:rsidR="009E20C7" w:rsidRDefault="009E20C7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Além disso, </w:t>
      </w:r>
      <w:r w:rsidR="004852FB">
        <w:rPr>
          <w:rFonts w:ascii="Times New Roman" w:hAnsi="Times New Roman" w:cs="Times New Roman"/>
          <w:sz w:val="24"/>
          <w:szCs w:val="24"/>
          <w:lang w:val="pt-BR"/>
        </w:rPr>
        <w:t xml:space="preserve">no novo plano de zoneamento do PDE, são propostas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as áreas de ZEIS (Zonas Especiais de Interesse Social), 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 xml:space="preserve">que </w:t>
      </w:r>
      <w:r w:rsidR="00B60108" w:rsidRPr="00B60108">
        <w:rPr>
          <w:rFonts w:ascii="Times New Roman" w:hAnsi="Times New Roman" w:cs="Times New Roman"/>
          <w:sz w:val="24"/>
          <w:szCs w:val="24"/>
          <w:lang w:val="pt-BR"/>
        </w:rPr>
        <w:t>são porções do território destinadas</w:t>
      </w:r>
      <w:r w:rsidR="00A55BB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60108" w:rsidRPr="00B60108">
        <w:rPr>
          <w:rFonts w:ascii="Times New Roman" w:hAnsi="Times New Roman" w:cs="Times New Roman"/>
          <w:sz w:val="24"/>
          <w:szCs w:val="24"/>
          <w:lang w:val="pt-BR"/>
        </w:rPr>
        <w:t>predominantemente à moradia digna para a população da baixa renda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>. Assim, também se estimula</w:t>
      </w:r>
      <w:r w:rsidR="00A31EA2">
        <w:rPr>
          <w:rFonts w:ascii="Times New Roman" w:hAnsi="Times New Roman" w:cs="Times New Roman"/>
          <w:sz w:val="24"/>
          <w:szCs w:val="24"/>
          <w:lang w:val="pt-BR"/>
        </w:rPr>
        <w:t>m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 xml:space="preserve"> melhorias urbanísticas, </w:t>
      </w:r>
      <w:r w:rsidR="00B60108" w:rsidRPr="00B60108">
        <w:rPr>
          <w:rFonts w:ascii="Times New Roman" w:hAnsi="Times New Roman" w:cs="Times New Roman"/>
          <w:sz w:val="24"/>
          <w:szCs w:val="24"/>
          <w:lang w:val="pt-BR"/>
        </w:rPr>
        <w:t>recuperação ambiental e regularização fundiária de assentamentos precários e irregulares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 xml:space="preserve"> nessas áreas</w:t>
      </w:r>
      <w:r w:rsidR="00B60108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 xml:space="preserve"> De acordo com o mapa abaixo</w:t>
      </w:r>
      <w:r w:rsidR="00377051">
        <w:rPr>
          <w:rFonts w:ascii="Times New Roman" w:hAnsi="Times New Roman" w:cs="Times New Roman"/>
          <w:sz w:val="24"/>
          <w:szCs w:val="24"/>
          <w:lang w:val="pt-BR"/>
        </w:rPr>
        <w:t xml:space="preserve"> (Figura 6)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>, pode-se perceber, na região da Luz e arredores, áreas de ZEIS 1, 3 e 5</w:t>
      </w:r>
      <w:r w:rsidR="004D0196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5"/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>. Essa iniciativa se justifica</w:t>
      </w:r>
      <w:r w:rsidR="004852FB">
        <w:rPr>
          <w:rFonts w:ascii="Times New Roman" w:hAnsi="Times New Roman" w:cs="Times New Roman"/>
          <w:sz w:val="24"/>
          <w:szCs w:val="24"/>
          <w:lang w:val="pt-BR"/>
        </w:rPr>
        <w:t xml:space="preserve"> também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t xml:space="preserve"> pela quantidade de cortiços nessa área central, o que demonstra uma necessidade de moradia de interesse social de </w:t>
      </w:r>
      <w:r w:rsidR="00AC7CCA">
        <w:rPr>
          <w:rFonts w:ascii="Times New Roman" w:hAnsi="Times New Roman" w:cs="Times New Roman"/>
          <w:sz w:val="24"/>
          <w:szCs w:val="24"/>
          <w:lang w:val="pt-BR"/>
        </w:rPr>
        <w:lastRenderedPageBreak/>
        <w:t>qualidade.</w:t>
      </w:r>
      <w:r w:rsidR="00A55BBC">
        <w:rPr>
          <w:rFonts w:ascii="Times New Roman" w:hAnsi="Times New Roman" w:cs="Times New Roman"/>
          <w:sz w:val="24"/>
          <w:szCs w:val="24"/>
          <w:lang w:val="pt-BR"/>
        </w:rPr>
        <w:t xml:space="preserve"> Destaca-se também a área aproximada onde atualmente se estabelece o fluxo da “Cracolândia”, no contexto dessas demarcações.</w:t>
      </w:r>
    </w:p>
    <w:p w14:paraId="054BCEAA" w14:textId="4844142B" w:rsidR="009E20C7" w:rsidRDefault="009E20C7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6C6893D" w14:textId="484625E8" w:rsidR="009E20C7" w:rsidRDefault="00A7758D" w:rsidP="009E20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4629114B" wp14:editId="088785B6">
            <wp:extent cx="5972175" cy="42805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043F" w14:textId="4101DAC7" w:rsidR="009E20C7" w:rsidRPr="00182390" w:rsidRDefault="009E20C7" w:rsidP="009B6128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pt-BR"/>
        </w:rPr>
      </w:pPr>
      <w:r w:rsidRPr="00182390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pt-BR"/>
        </w:rPr>
        <w:t xml:space="preserve">Figura </w:t>
      </w:r>
      <w:r w:rsidR="009B6128" w:rsidRPr="00182390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pt-BR"/>
        </w:rPr>
        <w:t>6</w:t>
      </w:r>
      <w:r w:rsidRPr="00182390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pt-BR"/>
        </w:rPr>
        <w:t>: ZEIS e cortiços na região da Luz e arredores</w:t>
      </w:r>
    </w:p>
    <w:p w14:paraId="28CB50E0" w14:textId="5B49D33E" w:rsidR="009E20C7" w:rsidRPr="00182390" w:rsidRDefault="009E20C7" w:rsidP="009E20C7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pt-BR"/>
        </w:rPr>
      </w:pPr>
      <w:r w:rsidRPr="00182390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pt-BR"/>
        </w:rPr>
        <w:t xml:space="preserve">Fonte: </w:t>
      </w:r>
      <w:r w:rsidRPr="00182390">
        <w:rPr>
          <w:rFonts w:ascii="Times New Roman" w:hAnsi="Times New Roman" w:cs="Times New Roman"/>
          <w:i w:val="0"/>
          <w:noProof/>
          <w:color w:val="000000" w:themeColor="text1"/>
          <w:sz w:val="22"/>
          <w:szCs w:val="22"/>
          <w:lang w:val="pt-BR"/>
        </w:rPr>
        <w:t>Prefeitura Municipal de São Paulo. Geosampa.</w:t>
      </w:r>
    </w:p>
    <w:p w14:paraId="7E44BD30" w14:textId="77777777" w:rsidR="009E20C7" w:rsidRPr="009E20C7" w:rsidRDefault="009E20C7" w:rsidP="009E20C7">
      <w:pPr>
        <w:rPr>
          <w:lang w:val="pt-BR"/>
        </w:rPr>
      </w:pPr>
    </w:p>
    <w:p w14:paraId="380205F7" w14:textId="2F81653D" w:rsidR="00516513" w:rsidRPr="00366AB0" w:rsidRDefault="00EB4F4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Vistas sob esse ângulo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as propostas do PDE 2014 representam avanços nas questões da gestão da cidade. Mas quando nos aproximamos de nossas áreas de estudo e da vida dessas populações vulneráveis das áreas centrais de São Paulo, vemos que o alcance dessas propostas ainda não se consolidou.</w:t>
      </w:r>
    </w:p>
    <w:p w14:paraId="6D10FBB5" w14:textId="77777777" w:rsidR="00BB1057" w:rsidRDefault="00EB4F4D" w:rsidP="00BB1057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David Harvey (</w:t>
      </w:r>
      <w:r w:rsidR="00A96A02" w:rsidRPr="00366AB0">
        <w:rPr>
          <w:rFonts w:ascii="Times New Roman" w:hAnsi="Times New Roman" w:cs="Times New Roman"/>
          <w:sz w:val="24"/>
          <w:szCs w:val="24"/>
          <w:lang w:val="pt-BR"/>
        </w:rPr>
        <w:t>2014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) afirma que o processo urbano é impulsionado por forças sociais poderosas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e que o controle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d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o uso do solo costuma estar nas mãos de poucos que obt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ê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m o excedente da produção de riquezas das cidades, por isso o desenvolvimento do capitalismo está fortemente relacionado à urbanização</w:t>
      </w:r>
      <w:r w:rsidR="00A96A02"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96A02" w:rsidRPr="00366AB0">
        <w:rPr>
          <w:rFonts w:ascii="Times New Roman" w:hAnsi="Times New Roman" w:cs="Times New Roman"/>
          <w:sz w:val="24"/>
          <w:szCs w:val="24"/>
          <w:lang w:val="pt-BR"/>
        </w:rPr>
        <w:t>O autor explica que uma situação comum nas grandes cidades é a absorção do excedente por meio da transformação urbana. Porém, com o intuito de se realizar uma reestruturação urbana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A96A02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é feita uma “destruição criativa” em nome do desenvolvimento cívico, </w:t>
      </w:r>
      <w:r w:rsidR="00A96A02"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>recuperação ambiental ou renovação urbana. Nesses processos de reforma, destr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oem</w:t>
      </w:r>
      <w:r w:rsidR="00A96A02" w:rsidRPr="00366AB0">
        <w:rPr>
          <w:rFonts w:ascii="Times New Roman" w:hAnsi="Times New Roman" w:cs="Times New Roman"/>
          <w:sz w:val="24"/>
          <w:szCs w:val="24"/>
          <w:lang w:val="pt-BR"/>
        </w:rPr>
        <w:t>-se o tecido urbano e comunidades inteiras, com integrações sociais há muito tempo estabelecidas. E em prol do embelezamento da cidade ou de revitalização para o turismo, as mazelas da cidade são apenas transferidas para outro local.</w:t>
      </w:r>
    </w:p>
    <w:p w14:paraId="276CE8D6" w14:textId="3EEBAA02" w:rsidR="00536219" w:rsidRDefault="00A96A02" w:rsidP="00BB1057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Nesse contexto 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>pode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-se avaliar criticamente 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tanto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as desapropriações do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projeto Nova Luz como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as estratégias violentas adotadas na região da </w:t>
      </w:r>
      <w:r w:rsidR="004C24F5" w:rsidRPr="00366AB0">
        <w:rPr>
          <w:rFonts w:ascii="Times New Roman" w:hAnsi="Times New Roman" w:cs="Times New Roman"/>
          <w:sz w:val="24"/>
          <w:szCs w:val="24"/>
          <w:lang w:val="pt-BR"/>
        </w:rPr>
        <w:t>“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Cracolândia</w:t>
      </w:r>
      <w:r w:rsidR="004C24F5" w:rsidRPr="00366AB0">
        <w:rPr>
          <w:rFonts w:ascii="Times New Roman" w:hAnsi="Times New Roman" w:cs="Times New Roman"/>
          <w:sz w:val="24"/>
          <w:szCs w:val="24"/>
          <w:lang w:val="pt-BR"/>
        </w:rPr>
        <w:t>”</w:t>
      </w:r>
      <w:r w:rsidR="00E5432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Movimentos sociais e 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>coletivos que atuam na região não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foram consultados e programas de resgate dos usuários de drogas foram desativados. Percebe-se que</w:t>
      </w:r>
      <w:r w:rsidR="002A040C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ainda que 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>essa operação tenha resultado na construção de HIS em parte das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quadras desapropriadas como a contrapartida do investimento público, o isolamento e a violência permanecem,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 investimento privado não se interessou pelo programa.</w:t>
      </w:r>
    </w:p>
    <w:p w14:paraId="22E32D80" w14:textId="0A7151CD" w:rsidR="004B123D" w:rsidRDefault="00536219" w:rsidP="00847A6A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5362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O </w:t>
      </w:r>
      <w:r w:rsidR="004B123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Mapa das Remoções (Figura 7), realizado pelo </w:t>
      </w:r>
      <w:r w:rsidRPr="005362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Observatório de Remoções</w:t>
      </w:r>
      <w:r w:rsidR="004B123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(</w:t>
      </w:r>
      <w:r w:rsidRPr="005362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projeto coordenado pelo LABCIDADE da FAU USP em parceria com o LABJUTA-UFABC</w:t>
      </w:r>
      <w:r w:rsidR="004B123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)</w:t>
      </w:r>
      <w:r w:rsidRPr="005362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, </w:t>
      </w:r>
      <w:r w:rsidR="004B123D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é resultado de denúncias relativas à </w:t>
      </w:r>
      <w:r w:rsidRPr="00536219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remoções e ameaças de remoção na Região Metropolitana de São Paulo (RMSP). </w:t>
      </w:r>
    </w:p>
    <w:p w14:paraId="60965C8F" w14:textId="77777777" w:rsidR="004B123D" w:rsidRDefault="004B123D" w:rsidP="004B123D">
      <w:pPr>
        <w:spacing w:line="360" w:lineRule="auto"/>
        <w:ind w:left="2268"/>
        <w:jc w:val="both"/>
        <w:rPr>
          <w:rFonts w:ascii="Times New Roman" w:hAnsi="Times New Roman" w:cs="Times New Roman"/>
          <w:color w:val="000000" w:themeColor="text1"/>
          <w:lang w:val="pt-BR"/>
        </w:rPr>
      </w:pPr>
    </w:p>
    <w:p w14:paraId="46091802" w14:textId="0EBD9FEA" w:rsidR="00F84A3B" w:rsidRPr="00BB1057" w:rsidRDefault="00536219" w:rsidP="00BB1057">
      <w:pPr>
        <w:spacing w:line="240" w:lineRule="auto"/>
        <w:ind w:left="2268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O mapeamento possui caráter colaborativo e é realizado desde 2012. Os objetivos desse mapeamento são: (a) identificar e compreender, em diferentes escalas, os impactos proporcionados pelas remoções e ameaças; e (b) sistematizar e compartilhar informações para fortalecer a resistência dos atingidos contra políticas e projetos urbanos que implicam em processos de </w:t>
      </w:r>
      <w:proofErr w:type="spellStart"/>
      <w:r w:rsidRPr="00BB1057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despossessão</w:t>
      </w:r>
      <w:proofErr w:type="spellEnd"/>
      <w:r w:rsidRPr="00BB1057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 xml:space="preserve"> e violação de direitos. </w:t>
      </w:r>
      <w:r w:rsidR="004B123D" w:rsidRPr="00BB1057">
        <w:rPr>
          <w:rFonts w:ascii="Times New Roman" w:hAnsi="Times New Roman" w:cs="Times New Roman"/>
          <w:color w:val="000000" w:themeColor="text1"/>
          <w:sz w:val="20"/>
          <w:szCs w:val="20"/>
          <w:lang w:val="pt-BR"/>
        </w:rPr>
        <w:t>(LABCIDADE FAUUSP, 2019)</w:t>
      </w:r>
    </w:p>
    <w:p w14:paraId="28302A74" w14:textId="77777777" w:rsidR="004B123D" w:rsidRPr="004B123D" w:rsidRDefault="004B123D" w:rsidP="004B123D">
      <w:pPr>
        <w:spacing w:line="360" w:lineRule="auto"/>
        <w:ind w:left="2268"/>
        <w:jc w:val="both"/>
        <w:rPr>
          <w:rFonts w:ascii="Times New Roman" w:hAnsi="Times New Roman" w:cs="Times New Roman"/>
          <w:color w:val="000000" w:themeColor="text1"/>
          <w:lang w:val="pt-BR"/>
        </w:rPr>
      </w:pPr>
    </w:p>
    <w:p w14:paraId="712D7939" w14:textId="77777777" w:rsidR="00F84A3B" w:rsidRPr="00366AB0" w:rsidRDefault="00F84A3B" w:rsidP="00F84A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14299EA2" wp14:editId="28C258E7">
            <wp:extent cx="5842800" cy="26928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19-10-08 às 21.32.5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26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75B7" w14:textId="7DEAB809" w:rsidR="00F84A3B" w:rsidRPr="00BB1057" w:rsidRDefault="00F84A3B" w:rsidP="00F84A3B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Figura 7: Mapa de denúncias de remoções no bairro da Luz e arredores</w:t>
      </w:r>
    </w:p>
    <w:p w14:paraId="5900F0FA" w14:textId="67536360" w:rsidR="00F84A3B" w:rsidRPr="00BB1057" w:rsidRDefault="00F84A3B" w:rsidP="00F84A3B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Fonte: http://www.labcidade.fau.usp.br/mapa-denuncias/</w:t>
      </w:r>
    </w:p>
    <w:p w14:paraId="0518494C" w14:textId="77777777" w:rsidR="00D35A0B" w:rsidRPr="00D35A0B" w:rsidRDefault="00D35A0B" w:rsidP="00D35A0B">
      <w:pPr>
        <w:rPr>
          <w:lang w:val="pt-BR"/>
        </w:rPr>
      </w:pPr>
    </w:p>
    <w:p w14:paraId="6735EF6B" w14:textId="146D40CD" w:rsidR="00DA42F3" w:rsidRPr="00366AB0" w:rsidRDefault="00A96A02" w:rsidP="00BB105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>Harvey (2014) nos lembra que no sistema capitalis</w:t>
      </w:r>
      <w:r w:rsidR="003F2C88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ta, o excedente é reinvestido, </w:t>
      </w:r>
      <w:r w:rsidR="00DA42F3" w:rsidRPr="00366AB0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 mercado imobiliário absorve parte significativa do proc</w:t>
      </w:r>
      <w:r w:rsidR="003F2C88" w:rsidRPr="00366AB0">
        <w:rPr>
          <w:rFonts w:ascii="Times New Roman" w:hAnsi="Times New Roman" w:cs="Times New Roman"/>
          <w:sz w:val="24"/>
          <w:szCs w:val="24"/>
          <w:lang w:val="pt-BR"/>
        </w:rPr>
        <w:t>esso de valorização do capital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3F2C88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por meio de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grandes projetos imobiliários. Esses processos geram problemas urbanos importantes que marcam as cidades pós-modernas, que são divididas, fragm</w:t>
      </w:r>
      <w:r w:rsidR="003F2C88" w:rsidRPr="00366AB0">
        <w:rPr>
          <w:rFonts w:ascii="Times New Roman" w:hAnsi="Times New Roman" w:cs="Times New Roman"/>
          <w:sz w:val="24"/>
          <w:szCs w:val="24"/>
          <w:lang w:val="pt-BR"/>
        </w:rPr>
        <w:t>entadas e propensas a conflitos, e essas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características dificultam a existência de uma identidade urbana e senso de cidadania em seus moradores. Porém são notáveis os movimentos sociais, que resgatam o desejo pela cidade e a vontade que ela seja diferente que o</w:t>
      </w:r>
      <w:r w:rsidR="003F2C88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determinado pelas empreiteiras, como será exposto no caso Mundaréu da Luz que compõem a segunda parte desse texto.</w:t>
      </w:r>
    </w:p>
    <w:p w14:paraId="1B2EC7FF" w14:textId="2117A887" w:rsidR="007E3252" w:rsidRPr="00366AB0" w:rsidRDefault="00DA42F3" w:rsidP="00366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ab/>
        <w:t>O</w:t>
      </w:r>
      <w:r w:rsidR="007E1C1D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autor define a cidade como uma incubadora de ideias, ideais e movimentos revolucionários. É direito mudar e reinventar a cidade de acordo com os nossos desejos.</w:t>
      </w:r>
    </w:p>
    <w:p w14:paraId="6CBB393B" w14:textId="77777777" w:rsidR="00DA42F3" w:rsidRPr="00366AB0" w:rsidRDefault="00DA42F3" w:rsidP="00366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C7E058E" w14:textId="29C3821E" w:rsidR="007E3252" w:rsidRPr="00BB1057" w:rsidRDefault="007E1C1D" w:rsidP="00BB1057">
      <w:pPr>
        <w:spacing w:line="240" w:lineRule="auto"/>
        <w:ind w:left="2268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sz w:val="20"/>
          <w:szCs w:val="20"/>
          <w:lang w:val="pt-BR"/>
        </w:rPr>
        <w:t xml:space="preserve">O direito à cidade é muito mais que a liberdade individual para acessar os recursos urbanos: é o direito de mudar a </w:t>
      </w:r>
      <w:r w:rsidR="00BB1057">
        <w:rPr>
          <w:rFonts w:ascii="Times New Roman" w:hAnsi="Times New Roman" w:cs="Times New Roman"/>
          <w:sz w:val="20"/>
          <w:szCs w:val="20"/>
          <w:lang w:val="pt-BR"/>
        </w:rPr>
        <w:t>nós</w:t>
      </w:r>
      <w:r w:rsidRPr="00BB1057">
        <w:rPr>
          <w:rFonts w:ascii="Times New Roman" w:hAnsi="Times New Roman" w:cs="Times New Roman"/>
          <w:sz w:val="20"/>
          <w:szCs w:val="20"/>
          <w:lang w:val="pt-BR"/>
        </w:rPr>
        <w:t xml:space="preserve"> mesmos por mudar a cidade. É, sobretudo, um direito coletivo, ao invés de individual, pois es</w:t>
      </w:r>
      <w:r w:rsidR="00BB1057">
        <w:rPr>
          <w:rFonts w:ascii="Times New Roman" w:hAnsi="Times New Roman" w:cs="Times New Roman"/>
          <w:sz w:val="20"/>
          <w:szCs w:val="20"/>
          <w:lang w:val="pt-BR"/>
        </w:rPr>
        <w:t>s</w:t>
      </w:r>
      <w:r w:rsidRPr="00BB1057">
        <w:rPr>
          <w:rFonts w:ascii="Times New Roman" w:hAnsi="Times New Roman" w:cs="Times New Roman"/>
          <w:sz w:val="20"/>
          <w:szCs w:val="20"/>
          <w:lang w:val="pt-BR"/>
        </w:rPr>
        <w:t>a transformação inevitavelmente depende do exercício de um poder coletivo para dar nova forma ao processo de urbanização. O direito de fazer e refazer nossas cidades e nós mesmos é, como quero argumentar, um dos mais preciosos, e ainda assim mais negligenciados, de nossos direitos humanos. (HARVEY, 2014, p.28).</w:t>
      </w:r>
    </w:p>
    <w:p w14:paraId="1169E818" w14:textId="03192958" w:rsidR="007E3252" w:rsidRPr="00366AB0" w:rsidRDefault="007E1C1D" w:rsidP="00366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      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ab/>
      </w:r>
    </w:p>
    <w:p w14:paraId="5243967A" w14:textId="4B44D8AF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Fazendo um paralelo, no livro a “Guerra dos Lugares”, de Raquel Rolnik (2015), a autora aborda o processo de financeirização global da moradia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no qual a dívida das habitações passou dos estados para indivíduos e famílias através do sistema de hipotecas. Ela explica que a privatização do estoque público de moradias transferiu ideologicamente a responsabilidade de geração de habitação, assim como os riscos de se obter o sonho da “casa própria”. Em relação às finanças globais, o capital financeiro absorveu a promoção imobiliária residencial e a habitação como propriedade em detrimento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outras formas de acesso.</w:t>
      </w:r>
    </w:p>
    <w:p w14:paraId="7EB54E9A" w14:textId="4C9A3FA3" w:rsidR="007E3252" w:rsidRPr="00366AB0" w:rsidRDefault="007E1C1D" w:rsidP="00BB1057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Na Holanda, ONGs privadas como a Woningcorporates construíram habitações pelas cidades com subsídios públicos, aliando planejamento urbano com aluguéis controlados, o que gerou cidades pouco segregadas. Já na Espanha, durante a ditadura franquista, o estímulo à casa própria através de crédito hipotecário e isenções fiscais era uma ferramenta para dinamizar economia e promover o controle social.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A partir desses casos, Raquel Rolnik conclui que a economia neoliberal globalizada controlada pelo sistema financeiro captura territórios, expulsa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 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coloniza espaços e formas de viver. Ao mesmo tempo, argumenta que esse processo de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>“despolitização” e do esvaziamento dos espaços públicos gerado pelas privatizações é questionado justamente nas manifestações que acontecem nas ruas e trazem de volta a vida nesses espaços.</w:t>
      </w:r>
    </w:p>
    <w:p w14:paraId="64C75FBE" w14:textId="02A33D86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Essa discussão é pertinente ao centro de São Paulo e especialmente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área estudada, que é marcada por disputas de território entre diferentes agentes e projetos de restruturação que terminam em remoções forçadas. Para reduzir essas discrepâncias, Harvey (2014) sugere um controle democrático sobre a produção do excedente e o uso dele na urbanização, mas para isso os governos deveriam ter poder de regulação mais rígida do mercado imobiliário</w:t>
      </w:r>
      <w:r w:rsidR="00D51900">
        <w:rPr>
          <w:rFonts w:ascii="Times New Roman" w:hAnsi="Times New Roman" w:cs="Times New Roman"/>
          <w:sz w:val="24"/>
          <w:szCs w:val="24"/>
          <w:lang w:val="pt-BR"/>
        </w:rPr>
        <w:t>; corroborando com Henry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Lefebvre</w:t>
      </w:r>
      <w:r w:rsidR="00D51900">
        <w:rPr>
          <w:rFonts w:ascii="Times New Roman" w:hAnsi="Times New Roman" w:cs="Times New Roman"/>
          <w:sz w:val="24"/>
          <w:szCs w:val="24"/>
          <w:lang w:val="pt-BR"/>
        </w:rPr>
        <w:t xml:space="preserve"> (1999</w:t>
      </w:r>
      <w:r w:rsidR="00291B46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291B4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D51900">
        <w:rPr>
          <w:rFonts w:ascii="Times New Roman" w:hAnsi="Times New Roman" w:cs="Times New Roman"/>
          <w:sz w:val="24"/>
          <w:szCs w:val="24"/>
          <w:lang w:val="pt-BR"/>
        </w:rPr>
        <w:t xml:space="preserve">que afirma que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a revolução de nossa época tem d</w:t>
      </w:r>
      <w:r w:rsidR="00291B46">
        <w:rPr>
          <w:rFonts w:ascii="Times New Roman" w:hAnsi="Times New Roman" w:cs="Times New Roman"/>
          <w:sz w:val="24"/>
          <w:szCs w:val="24"/>
          <w:lang w:val="pt-BR"/>
        </w:rPr>
        <w:t>e ser urbana – ou não será nada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FB0FB8D" w14:textId="7DCDC561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noProof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Por ser uma área muito discutida, a região próxima a Estação da Luz já foi objeto de estudos e de muitas propostas e planos urbanísticos</w:t>
      </w:r>
      <w:r w:rsidR="003814F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(Fig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 xml:space="preserve">ura </w:t>
      </w:r>
      <w:r w:rsidR="00A00018">
        <w:rPr>
          <w:rFonts w:ascii="Times New Roman" w:hAnsi="Times New Roman" w:cs="Times New Roman"/>
          <w:sz w:val="24"/>
          <w:szCs w:val="24"/>
          <w:lang w:val="pt-BR"/>
        </w:rPr>
        <w:t>8</w:t>
      </w:r>
      <w:r w:rsidR="003814FE" w:rsidRPr="00366AB0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 É possível perceber diferentes soluções para a área, que divergem entre soluções “Arrasa Quarteirão” e outras que envolvem um Processo Participativo de implementação.</w:t>
      </w:r>
      <w:r w:rsidR="00BF768F" w:rsidRPr="00366AB0">
        <w:rPr>
          <w:rFonts w:ascii="Times New Roman" w:hAnsi="Times New Roman" w:cs="Times New Roman"/>
          <w:noProof/>
          <w:sz w:val="24"/>
          <w:szCs w:val="24"/>
          <w:lang w:val="pt-BR"/>
        </w:rPr>
        <w:t xml:space="preserve"> </w:t>
      </w:r>
    </w:p>
    <w:p w14:paraId="78309C77" w14:textId="56B3A41D" w:rsidR="00BF768F" w:rsidRPr="00366AB0" w:rsidRDefault="000C42D4" w:rsidP="00847A6A">
      <w:pPr>
        <w:pStyle w:val="Caption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43CD1BE6" wp14:editId="02B029BE">
            <wp:extent cx="5893200" cy="20592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ha do temp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0" t="17258" r="19775" b="52532"/>
                    <a:stretch/>
                  </pic:blipFill>
                  <pic:spPr bwMode="auto">
                    <a:xfrm>
                      <a:off x="0" y="0"/>
                      <a:ext cx="5893200" cy="20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A6A"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="00B5390E"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8</w:t>
      </w:r>
      <w:r w:rsidR="00847A6A"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: Linha do tempo dos projetos para a região da Luz</w: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 </w:t>
      </w:r>
      <w:r w:rsidR="00847A6A"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br/>
        <w:t>Fonte: a autora</w:t>
      </w:r>
    </w:p>
    <w:p w14:paraId="2F0F0645" w14:textId="2F899AC8" w:rsidR="00091617" w:rsidRDefault="007E1C1D" w:rsidP="00C85CA5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O Projeto Nova Luz, encabeçado pela prefeitura de São Paulo na gestão Kassab para essa região visava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à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“valorização dos prédios históricos, reforma das áreas livres públicas, criação de espaços verdes e de lazer e melhoria do ambiente urbano da região”</w:t>
      </w:r>
      <w:r w:rsidR="004D0196">
        <w:rPr>
          <w:rFonts w:ascii="Times New Roman" w:hAnsi="Times New Roman" w:cs="Times New Roman"/>
          <w:sz w:val="24"/>
          <w:szCs w:val="24"/>
          <w:lang w:val="pt-BR"/>
        </w:rPr>
        <w:t xml:space="preserve"> (São Paulo, 2011)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 Porém a falta de participação popular e de clareza na concepção desse projeto foi o que encadeou diversas manifestações que levaram ao engavetamento do projeto.</w:t>
      </w:r>
    </w:p>
    <w:p w14:paraId="2428EA0B" w14:textId="77777777" w:rsidR="002A040C" w:rsidRPr="00366AB0" w:rsidRDefault="002A040C" w:rsidP="00BB10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CBE5D79" w14:textId="1021E1F5" w:rsidR="00C85CA5" w:rsidRDefault="00A24E15" w:rsidP="00A24E15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2.  </w:t>
      </w:r>
      <w:r w:rsidR="000C53D6">
        <w:rPr>
          <w:rFonts w:ascii="Times New Roman" w:hAnsi="Times New Roman" w:cs="Times New Roman"/>
          <w:b/>
          <w:sz w:val="24"/>
          <w:szCs w:val="24"/>
          <w:lang w:val="pt-BR"/>
        </w:rPr>
        <w:t>Campos Elíseos Vivo</w:t>
      </w:r>
    </w:p>
    <w:p w14:paraId="56C102D0" w14:textId="77777777" w:rsidR="000C1C0A" w:rsidRDefault="000C1C0A" w:rsidP="000C1C0A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B43CB8C" w14:textId="00A5B721" w:rsidR="007E3252" w:rsidRPr="00C85CA5" w:rsidRDefault="007E1C1D" w:rsidP="00C85CA5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85CA5"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="00ED51D1" w:rsidRPr="00C85CA5">
        <w:rPr>
          <w:rFonts w:ascii="Times New Roman" w:hAnsi="Times New Roman" w:cs="Times New Roman"/>
          <w:sz w:val="24"/>
          <w:szCs w:val="24"/>
          <w:lang w:val="pt-BR"/>
        </w:rPr>
        <w:t>reposta ao fracasso d</w:t>
      </w:r>
      <w:r w:rsidR="00F15051" w:rsidRPr="00C85CA5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C85CA5">
        <w:rPr>
          <w:rFonts w:ascii="Times New Roman" w:hAnsi="Times New Roman" w:cs="Times New Roman"/>
          <w:sz w:val="24"/>
          <w:szCs w:val="24"/>
          <w:lang w:val="pt-BR"/>
        </w:rPr>
        <w:t xml:space="preserve"> projeto Nova Luz que, apesar de sua consistência como plano urbano em relação ao PDE não foi colocado em prática, o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>Coletivo Fórum Mundaréu da Luz</w:t>
      </w:r>
      <w:r w:rsidRPr="00C85CA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 xml:space="preserve">criou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lastRenderedPageBreak/>
        <w:t>um projeto que pretende uma aproximação ao território a partir de um processo participativo, ou seja,</w:t>
      </w:r>
      <w:r w:rsidRPr="00C85CA5">
        <w:rPr>
          <w:rFonts w:ascii="Times New Roman" w:hAnsi="Times New Roman" w:cs="Times New Roman"/>
          <w:sz w:val="24"/>
          <w:szCs w:val="24"/>
          <w:lang w:val="pt-BR"/>
        </w:rPr>
        <w:t xml:space="preserve"> de baixo para cima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2E480D1" w14:textId="21D101CF" w:rsidR="00ED51D1" w:rsidRPr="00366AB0" w:rsidRDefault="00ED51D1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Esse por sua vez se estruturou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partir de um amplo processo de consulta por meio da escuta das necessidades e dos desejos da população local do bairro Campos Elíseos, que culminou num projeto amplo de construção co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letiva chamado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>Campos Elíseos Vivo</w:t>
      </w:r>
      <w:r w:rsidR="008D5BAF" w:rsidRPr="00366AB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32EAC4B" w14:textId="77777777" w:rsidR="00ED51D1" w:rsidRPr="00366AB0" w:rsidRDefault="00ED51D1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5E9FEDA" w14:textId="447D2DC2" w:rsidR="00ED51D1" w:rsidRPr="00BB1057" w:rsidRDefault="00ED51D1" w:rsidP="00BB1057">
      <w:pPr>
        <w:spacing w:line="240" w:lineRule="auto"/>
        <w:ind w:left="2268" w:hanging="2135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BB1057">
        <w:rPr>
          <w:rFonts w:ascii="Times New Roman" w:hAnsi="Times New Roman" w:cs="Times New Roman"/>
          <w:sz w:val="20"/>
          <w:szCs w:val="20"/>
          <w:lang w:val="pt-BR"/>
        </w:rPr>
        <w:t>O projeto contou com a atuação e participação de companhias</w:t>
      </w:r>
      <w:r w:rsidR="00116CB4" w:rsidRPr="00BB1057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B1057">
        <w:rPr>
          <w:rFonts w:ascii="Times New Roman" w:hAnsi="Times New Roman" w:cs="Times New Roman"/>
          <w:sz w:val="20"/>
          <w:szCs w:val="20"/>
          <w:lang w:val="pt-BR"/>
        </w:rPr>
        <w:t>e coletivos culturais, organizações que atuam no campo da saúde</w:t>
      </w:r>
      <w:r w:rsidR="00116CB4" w:rsidRPr="00BB1057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B1057">
        <w:rPr>
          <w:rFonts w:ascii="Times New Roman" w:hAnsi="Times New Roman" w:cs="Times New Roman"/>
          <w:sz w:val="20"/>
          <w:szCs w:val="20"/>
          <w:lang w:val="pt-BR"/>
        </w:rPr>
        <w:t>mental, universidades (por meio de laboratórios e escritórios-modelo de arquitetura e urbanismo, história social e psicologia), ONGs com atuação em políticas urbanas e de assistência social, dentre outros grupos. As atividades objetivaram conhecer e tornar visíveis as pessoas atingidas por intervenções por parte dos governos municipal e estadual de São Paulo – que, inclusive com uso da violência, pretendem expulsar quem atualmente ocupa a</w:t>
      </w:r>
      <w:r w:rsidR="00116CB4" w:rsidRPr="00BB1057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BB1057">
        <w:rPr>
          <w:rFonts w:ascii="Times New Roman" w:hAnsi="Times New Roman" w:cs="Times New Roman"/>
          <w:sz w:val="20"/>
          <w:szCs w:val="20"/>
          <w:lang w:val="pt-BR"/>
        </w:rPr>
        <w:t>região e compreender a diversidade de situações ali presentes.</w:t>
      </w:r>
      <w:r w:rsidR="00116CB4" w:rsidRPr="00BB1057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B2D2E" w:rsidRPr="00BB1057">
        <w:rPr>
          <w:rFonts w:ascii="Times New Roman" w:hAnsi="Times New Roman" w:cs="Times New Roman"/>
          <w:sz w:val="20"/>
          <w:szCs w:val="20"/>
          <w:lang w:val="pt-BR"/>
        </w:rPr>
        <w:t>(Fórum aberto Mundaréu da Luz, 2018)</w:t>
      </w:r>
    </w:p>
    <w:p w14:paraId="6CE2C197" w14:textId="77777777" w:rsidR="00ED51D1" w:rsidRPr="00366AB0" w:rsidRDefault="00ED51D1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1C06582" w14:textId="4D03ADB7" w:rsidR="000C1C0A" w:rsidRPr="00F84A3B" w:rsidRDefault="007E1C1D" w:rsidP="00F84A3B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O Fórum Aberto Mundaréu da Luz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 xml:space="preserve">reúne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instituições e pessoas das mais diversas áreas do conhecimento que atuam na região da Luz, em São Paulo. Esse coletivo se desenvolveu como frente de reação às ações violentas e autoritárias do poder público na região. Atualmente, o coletivo trabalha no Campos Elíseos Vivo</w:t>
      </w:r>
      <w:r w:rsidR="00091617" w:rsidRPr="00366AB0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6"/>
      </w:r>
      <w:r w:rsidR="00091617" w:rsidRPr="00366AB0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projeto urbanístico e social que propõe uma nova forma de viver e trabalhar no bairro, sem a violência de remoções e demolições.</w:t>
      </w:r>
    </w:p>
    <w:p w14:paraId="25DA7DB8" w14:textId="70FA7390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Esse projeto começou como uma contraproposta aos projetos de grandes infraestruturas e habitações PPP ao redor da Igreja Coração de Jesus. Propõe-se primeiramente uma imersão no território, um estudo do patrimônio material e imaterial da região, e a compreensão da situação habitacional precária e das vulnerabilidades sociais das populações residentes, para que se possa reconhecer num mesmo plano, tanto a arquitetura local como a população local, sem perder de vista a necessidade de desenvolvimento urbano da cidade.</w:t>
      </w:r>
    </w:p>
    <w:p w14:paraId="4A15C13A" w14:textId="4208AF05" w:rsidR="00EB2D2E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Para isso, o trabalho foi dividido em 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distintas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frentes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(moradores, comerciantes e o “fluxo”)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, para que a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complexidade da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questão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contemplasse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várias perspectivas e disciplinas diferentes. 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>Se organizou a partir de uma imersão na área para se conhecer as populações que ali vivem e sua demandas. Ao mesmo tempo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as equipes dedicaram-se a analisar as potencialidades urbanísticas e construtivas da região 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partir da escala do bairro, das quadras e das edificações. De posse desses 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>dados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organizaram-se três eixos de atuação que contemplam as diferentes modalidades de atendimento: o eixo morar e trabalhar, o eixo amar e cuidar e o eixo estar na rua e conviver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EB2D2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resultando desse processo propostas de tipologias de projeto e estratégias econômicas e financeiras para sua viabilização (</w:t>
      </w:r>
      <w:r w:rsidR="00B673A5" w:rsidRPr="00366AB0">
        <w:rPr>
          <w:rFonts w:ascii="Times New Roman" w:hAnsi="Times New Roman" w:cs="Times New Roman"/>
          <w:sz w:val="24"/>
          <w:szCs w:val="24"/>
          <w:lang w:val="pt-BR"/>
        </w:rPr>
        <w:t>Fórum Mundaréu da Luz, 2018)</w:t>
      </w:r>
      <w:r w:rsidR="00AD2D81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FA2AF8D" w14:textId="6E21BE0F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Como o pro</w:t>
      </w:r>
      <w:r w:rsidR="00B5390E">
        <w:rPr>
          <w:rFonts w:ascii="Times New Roman" w:hAnsi="Times New Roman" w:cs="Times New Roman"/>
          <w:sz w:val="24"/>
          <w:szCs w:val="24"/>
          <w:lang w:val="pt-BR"/>
        </w:rPr>
        <w:t>jeto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teve sempre a intenção de ser participativo, pode-se perceber a diversidade da área a partir da conversa com os locais. Fo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levantada uma grande diversidade de tipologias habitacionais e modalidades de acesso à moradia, como os hotéis sociais, pensões, cortiços. E, por ser tão heterogênea, não se percebeu na área uma liderança ou uma comunidade consolidada, o que torna ainda mais difícil a tentativa de unir todos os habitantes e comerciantes da região em um mesmo plano urbano.</w:t>
      </w:r>
    </w:p>
    <w:p w14:paraId="5F359A20" w14:textId="25F0B8D0" w:rsidR="007E3252" w:rsidRPr="00366AB0" w:rsidRDefault="007E1C1D" w:rsidP="00366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      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ab/>
        <w:t>Em 2017, o coletivo realizou um levantamento dos moradores das quadras 36, 37 e 38 do bairro Campos Elísios, situadas no quadrilátero entre as ruas: a Avenida Rio Branco, a Rua Helvétia, a Alameda Cleveland e a Alameda Glete, para realizar a proposta de projeto Campos Elísios Vivo</w:t>
      </w:r>
      <w:r w:rsidR="00BC733E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(Fig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>ura 9</w:t>
      </w:r>
      <w:r w:rsidR="00BC733E" w:rsidRPr="00366AB0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. O estudo apontou que todas famílias t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inham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um rendimento mensal de no máximo 3 salários mínimos, e algu</w:t>
      </w:r>
      <w:r w:rsidR="000776CA">
        <w:rPr>
          <w:rFonts w:ascii="Times New Roman" w:hAnsi="Times New Roman" w:cs="Times New Roman"/>
          <w:sz w:val="24"/>
          <w:szCs w:val="24"/>
          <w:lang w:val="pt-BR"/>
        </w:rPr>
        <w:t>mas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des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0776CA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s não </w:t>
      </w:r>
      <w:r w:rsidR="00005CEF" w:rsidRPr="00366AB0">
        <w:rPr>
          <w:rFonts w:ascii="Times New Roman" w:hAnsi="Times New Roman" w:cs="Times New Roman"/>
          <w:sz w:val="24"/>
          <w:szCs w:val="24"/>
          <w:lang w:val="pt-BR"/>
        </w:rPr>
        <w:t>possu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ía</w:t>
      </w:r>
      <w:r w:rsidR="00005CEF" w:rsidRPr="00366AB0">
        <w:rPr>
          <w:rFonts w:ascii="Times New Roman" w:hAnsi="Times New Roman" w:cs="Times New Roman"/>
          <w:sz w:val="24"/>
          <w:szCs w:val="24"/>
          <w:lang w:val="pt-BR"/>
        </w:rPr>
        <w:t>m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rendimentos fixos, o que dificulta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va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o pagamento de despesas permanentes. </w:t>
      </w:r>
      <w:r w:rsidRPr="00331F00">
        <w:rPr>
          <w:rFonts w:ascii="Times New Roman" w:hAnsi="Times New Roman" w:cs="Times New Roman"/>
          <w:sz w:val="24"/>
          <w:szCs w:val="24"/>
          <w:lang w:val="pt-BR"/>
        </w:rPr>
        <w:t>Os aluguéis varia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va</w:t>
      </w:r>
      <w:r w:rsidRPr="00331F00">
        <w:rPr>
          <w:rFonts w:ascii="Times New Roman" w:hAnsi="Times New Roman" w:cs="Times New Roman"/>
          <w:sz w:val="24"/>
          <w:szCs w:val="24"/>
          <w:lang w:val="pt-BR"/>
        </w:rPr>
        <w:t>m entre R$ 400 e R$ 700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331F00" w:rsidRPr="00331F00">
        <w:rPr>
          <w:rFonts w:ascii="Times New Roman" w:hAnsi="Times New Roman" w:cs="Times New Roman"/>
          <w:sz w:val="24"/>
          <w:szCs w:val="24"/>
          <w:lang w:val="pt-BR"/>
        </w:rPr>
        <w:t>ou seja, entre 45</w:t>
      </w:r>
      <w:r w:rsidR="00331F00">
        <w:rPr>
          <w:rFonts w:ascii="Times New Roman" w:hAnsi="Times New Roman" w:cs="Times New Roman"/>
          <w:sz w:val="24"/>
          <w:szCs w:val="24"/>
          <w:lang w:val="pt-BR"/>
        </w:rPr>
        <w:t>%</w:t>
      </w:r>
      <w:r w:rsidR="00331F00" w:rsidRPr="00331F00">
        <w:rPr>
          <w:rFonts w:ascii="Times New Roman" w:hAnsi="Times New Roman" w:cs="Times New Roman"/>
          <w:sz w:val="24"/>
          <w:szCs w:val="24"/>
          <w:lang w:val="pt-BR"/>
        </w:rPr>
        <w:t xml:space="preserve"> e 75</w:t>
      </w:r>
      <w:r w:rsidR="00331F00">
        <w:rPr>
          <w:rFonts w:ascii="Times New Roman" w:hAnsi="Times New Roman" w:cs="Times New Roman"/>
          <w:sz w:val="24"/>
          <w:szCs w:val="24"/>
          <w:lang w:val="pt-BR"/>
        </w:rPr>
        <w:t>%</w:t>
      </w:r>
      <w:r w:rsidR="00331F00" w:rsidRPr="00331F00">
        <w:rPr>
          <w:rFonts w:ascii="Times New Roman" w:hAnsi="Times New Roman" w:cs="Times New Roman"/>
          <w:sz w:val="24"/>
          <w:szCs w:val="24"/>
          <w:lang w:val="pt-BR"/>
        </w:rPr>
        <w:t xml:space="preserve"> d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331F00" w:rsidRPr="00331F00">
        <w:rPr>
          <w:rFonts w:ascii="Times New Roman" w:hAnsi="Times New Roman" w:cs="Times New Roman"/>
          <w:sz w:val="24"/>
          <w:szCs w:val="24"/>
          <w:lang w:val="pt-BR"/>
        </w:rPr>
        <w:t xml:space="preserve"> um salário mínimo</w:t>
      </w:r>
      <w:r w:rsidR="00331F00">
        <w:rPr>
          <w:rFonts w:ascii="Times New Roman" w:hAnsi="Times New Roman" w:cs="Times New Roman"/>
          <w:sz w:val="24"/>
          <w:szCs w:val="24"/>
          <w:lang w:val="pt-BR"/>
        </w:rPr>
        <w:t xml:space="preserve"> n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aquele</w:t>
      </w:r>
      <w:r w:rsidR="00331F00">
        <w:rPr>
          <w:rFonts w:ascii="Times New Roman" w:hAnsi="Times New Roman" w:cs="Times New Roman"/>
          <w:sz w:val="24"/>
          <w:szCs w:val="24"/>
          <w:lang w:val="pt-BR"/>
        </w:rPr>
        <w:t xml:space="preserve"> ano</w:t>
      </w:r>
      <w:r w:rsidRPr="00331F00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Além dis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s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o, alguns indivíduos e núcleos familiares aluga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va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m quartos ou camas por dia, semana ou mês. Porém, foram encontradas muitas pessoas que habita</w:t>
      </w:r>
      <w:r w:rsidR="00005CEF">
        <w:rPr>
          <w:rFonts w:ascii="Times New Roman" w:hAnsi="Times New Roman" w:cs="Times New Roman"/>
          <w:sz w:val="24"/>
          <w:szCs w:val="24"/>
          <w:lang w:val="pt-BR"/>
        </w:rPr>
        <w:t>va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m a área há muitos anos, ou seja, muitos moradores permanentes. O estudo chamou a atenção para a diversidade de tipologias e arranjos familiares.</w:t>
      </w:r>
    </w:p>
    <w:p w14:paraId="266698AA" w14:textId="578617FF" w:rsidR="00B673A5" w:rsidRPr="00366AB0" w:rsidRDefault="00B673A5" w:rsidP="00366A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noProof/>
          <w:sz w:val="24"/>
          <w:szCs w:val="24"/>
          <w:lang w:val="pt-BR"/>
        </w:rPr>
        <w:lastRenderedPageBreak/>
        <w:t xml:space="preserve"> </w:t>
      </w:r>
      <w:r w:rsidR="00123C89"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inline distT="0" distB="0" distL="0" distR="0" wp14:anchorId="4E538866" wp14:editId="3D74BF9A">
            <wp:extent cx="5972175" cy="3799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50C" w14:textId="255A0143" w:rsidR="000C1C0A" w:rsidRPr="00BB1057" w:rsidRDefault="000C1C0A" w:rsidP="000C1C0A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BB1057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9</w: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: Quadras de intervenção do Mundaréu da Luz</w:t>
      </w:r>
    </w:p>
    <w:p w14:paraId="5C5D2C2B" w14:textId="139E35D6" w:rsidR="00B673A5" w:rsidRPr="00BB1057" w:rsidRDefault="000C1C0A" w:rsidP="000C1C0A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Fonte: Relatório do Mundaréu da Luz, 2018</w:t>
      </w:r>
    </w:p>
    <w:p w14:paraId="3783FB81" w14:textId="77777777" w:rsidR="000C1C0A" w:rsidRPr="000C1C0A" w:rsidRDefault="000C1C0A" w:rsidP="000C1C0A">
      <w:pPr>
        <w:rPr>
          <w:lang w:val="pt-BR"/>
        </w:rPr>
      </w:pPr>
    </w:p>
    <w:p w14:paraId="7D744DC0" w14:textId="076EB2C4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Muitas das famílias vivem em moradias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com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condições inadequadas em termos de salubridade. Tais famílias sujeitam-se a essas condições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 xml:space="preserve"> por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que morar no centro representa uma alternativa ao destino da periferia geográfica das camadas de baixa renda na cidade de São Paulo, e pela possibilidade de morar próximo ao emprego. Em relação à oferta de empregos, nas quadras onde se realizou o levantamento, existem muitos estabelecimentos comerciais e de prestação de serviços e grande parte das atividades realizadas nesses estabelecimentos são as fontes de trabalho e renda de quem mora na região.</w:t>
      </w:r>
    </w:p>
    <w:p w14:paraId="71D7C0AC" w14:textId="1661F1B6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A conclusão do levantamento sobre os moradores indicou que um projeto para aquela região precisa incluir um programa articulado de uso habitacional, variando não só as tipologias habitacionais, como o acesso a elas, atendendo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s demandas por moradia de baixo custo e 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transitoriedade de algumas famílias</w:t>
      </w:r>
      <w:r w:rsidR="00DF3E3F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(Fig</w:t>
      </w:r>
      <w:r w:rsidR="00F42497">
        <w:rPr>
          <w:rFonts w:ascii="Times New Roman" w:hAnsi="Times New Roman" w:cs="Times New Roman"/>
          <w:sz w:val="24"/>
          <w:szCs w:val="24"/>
          <w:lang w:val="pt-BR"/>
        </w:rPr>
        <w:t xml:space="preserve">ura </w:t>
      </w:r>
      <w:r w:rsidR="009E20C7">
        <w:rPr>
          <w:rFonts w:ascii="Times New Roman" w:hAnsi="Times New Roman" w:cs="Times New Roman"/>
          <w:sz w:val="24"/>
          <w:szCs w:val="24"/>
          <w:lang w:val="pt-BR"/>
        </w:rPr>
        <w:t>10</w:t>
      </w:r>
      <w:r w:rsidR="00DF3E3F" w:rsidRPr="00366AB0">
        <w:rPr>
          <w:rFonts w:ascii="Times New Roman" w:hAnsi="Times New Roman" w:cs="Times New Roman"/>
          <w:sz w:val="24"/>
          <w:szCs w:val="24"/>
          <w:lang w:val="pt-BR"/>
        </w:rPr>
        <w:t>)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7D07857C" w14:textId="77777777" w:rsidR="00B673A5" w:rsidRPr="00366AB0" w:rsidRDefault="00B673A5" w:rsidP="00366AB0">
      <w:pPr>
        <w:spacing w:line="360" w:lineRule="auto"/>
        <w:ind w:firstLine="70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498E1C1" w14:textId="344333B3" w:rsidR="007E3252" w:rsidRPr="00366AB0" w:rsidRDefault="00EF12AC" w:rsidP="000C1C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lastRenderedPageBreak/>
        <w:drawing>
          <wp:inline distT="0" distB="0" distL="0" distR="0" wp14:anchorId="11232FAC" wp14:editId="6838685C">
            <wp:extent cx="4610100" cy="3546909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232" cy="355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2B77" w14:textId="52771648" w:rsidR="000C1C0A" w:rsidRPr="00BB1057" w:rsidRDefault="000C1C0A" w:rsidP="000C1C0A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BB1057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10</w:t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: Gráfico apresentado pelo Fórum Mundaréu da Luz, no caderno de apresentação do projeto Campos Elísios Vivo.</w:t>
      </w:r>
    </w:p>
    <w:p w14:paraId="53472A5A" w14:textId="77777777" w:rsidR="00D27B67" w:rsidRPr="00BB1057" w:rsidRDefault="00D27B67" w:rsidP="00D27B67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BB1057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Fonte: Relatório do Mundaréu da Luz, 2018</w:t>
      </w:r>
    </w:p>
    <w:p w14:paraId="702F5892" w14:textId="77777777" w:rsidR="007E3252" w:rsidRPr="00366AB0" w:rsidRDefault="007E3252" w:rsidP="00C85C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365DF02" w14:textId="3D22C736" w:rsidR="007E3252" w:rsidRPr="00366AB0" w:rsidRDefault="007E1C1D" w:rsidP="00366AB0">
      <w:pPr>
        <w:spacing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O projeto pretende corresponder a essa demanda por moradia transitória de baixo custo ao mesmo tempo em que preserva as tipologias arquitetônicas existentes. Propõe uma intervenção sobre as áreas vazias e subutilizadas, com edifícios que mant</w:t>
      </w:r>
      <w:r w:rsidR="00BB1057">
        <w:rPr>
          <w:rFonts w:ascii="Times New Roman" w:hAnsi="Times New Roman" w:cs="Times New Roman"/>
          <w:sz w:val="24"/>
          <w:szCs w:val="24"/>
          <w:lang w:val="pt-BR"/>
        </w:rPr>
        <w:t>ê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m a morfologia do bairro, com fossos, pátios, terraços, construções geminadas e que refletem o modo de viver na área com espaços de trabalho compartilhado, espaços de convivência e áreas de uso </w:t>
      </w:r>
      <w:r w:rsidR="008225AF">
        <w:rPr>
          <w:rFonts w:ascii="Times New Roman" w:hAnsi="Times New Roman" w:cs="Times New Roman"/>
          <w:sz w:val="24"/>
          <w:szCs w:val="24"/>
          <w:lang w:val="pt-BR"/>
        </w:rPr>
        <w:t>c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omercial. A proposta principal é a produção habitacional que não envolva demolições e remoções</w:t>
      </w:r>
      <w:r w:rsidR="008225AF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É importante ressaltar a importância de documentos como o Plano Diretor e o Plano Municipal de Habitação na proposição de projetos, para que se tenha em vista os instrumentos urbanísticos que podem ser utilizadas na produção habitacional para a população de baixa renda.</w:t>
      </w:r>
    </w:p>
    <w:p w14:paraId="6BB37523" w14:textId="77777777" w:rsidR="00944C1D" w:rsidRPr="00366AB0" w:rsidRDefault="00944C1D" w:rsidP="00366AB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54C3482" w14:textId="40AEA777" w:rsidR="009219FE" w:rsidRPr="00366AB0" w:rsidRDefault="00B673A5" w:rsidP="00A24E15">
      <w:pPr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>Conclusões</w:t>
      </w:r>
    </w:p>
    <w:p w14:paraId="0ACF68AC" w14:textId="72320DE6" w:rsidR="00116CB4" w:rsidRPr="00366AB0" w:rsidRDefault="00116CB4" w:rsidP="00366AB0">
      <w:pPr>
        <w:spacing w:line="360" w:lineRule="auto"/>
        <w:ind w:left="1134" w:hanging="708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b/>
          <w:sz w:val="24"/>
          <w:szCs w:val="24"/>
          <w:lang w:val="pt-BR"/>
        </w:rPr>
        <w:tab/>
      </w:r>
    </w:p>
    <w:p w14:paraId="4CF1096C" w14:textId="40213334" w:rsidR="007E3252" w:rsidRPr="00366AB0" w:rsidRDefault="007E1C1D" w:rsidP="00366AB0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>Conclui-se que a</w:t>
      </w:r>
      <w:r w:rsidR="00C15498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região da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“Cracolândia” e as populações vulneráveis no centro de São Paulo são resultado do processo de abandono do centro e de diversos outros conflitos na metrópole. Ou seja, não é um caso isolado e deve ser aprofundado e considerado nos estudos e planos sugeridos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para a área central. É importante que se atenda a demanda por habitação social de qualidade e moradia de baixo custo para toda a diversidade possível de moradores. Além disso, é necessário levar em conta as potencialidades da área central no aspecto cultural, histórico e de infraestruturas da cidade, trazendo uma nova dinâmica para o bairro. </w:t>
      </w:r>
    </w:p>
    <w:p w14:paraId="560363BA" w14:textId="04BE372C" w:rsidR="007E1C1D" w:rsidRPr="00366AB0" w:rsidRDefault="007E1C1D" w:rsidP="00366AB0">
      <w:pPr>
        <w:spacing w:line="360" w:lineRule="auto"/>
        <w:ind w:firstLine="360"/>
        <w:jc w:val="both"/>
        <w:rPr>
          <w:rFonts w:ascii="Times New Roman" w:hAnsi="Times New Roman" w:cs="Times New Roman"/>
          <w:color w:val="1C1E21"/>
          <w:sz w:val="24"/>
          <w:szCs w:val="24"/>
          <w:highlight w:val="white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Tendo em vista o conceito de Direito à Cidade e as ferramentas urbanísticas possíveis, podemos ter como exemplo a iniciativa do Fórum Aberto Mundaréu da Luz como um projeto realizado de forma participativa e que </w:t>
      </w:r>
      <w:r w:rsidRPr="00366AB0">
        <w:rPr>
          <w:rFonts w:ascii="Times New Roman" w:hAnsi="Times New Roman" w:cs="Times New Roman"/>
          <w:color w:val="1C1E21"/>
          <w:sz w:val="24"/>
          <w:szCs w:val="24"/>
          <w:highlight w:val="white"/>
          <w:lang w:val="pt-BR"/>
        </w:rPr>
        <w:t xml:space="preserve">é parte de diversos movimentos importantes de permanência e de </w:t>
      </w:r>
      <w:r w:rsidR="00291B46" w:rsidRPr="00366AB0">
        <w:rPr>
          <w:rFonts w:ascii="Times New Roman" w:hAnsi="Times New Roman" w:cs="Times New Roman"/>
          <w:color w:val="1C1E21"/>
          <w:sz w:val="24"/>
          <w:szCs w:val="24"/>
          <w:highlight w:val="white"/>
          <w:lang w:val="pt-BR"/>
        </w:rPr>
        <w:t>reocupação</w:t>
      </w:r>
      <w:r w:rsidRPr="00366AB0">
        <w:rPr>
          <w:rFonts w:ascii="Times New Roman" w:hAnsi="Times New Roman" w:cs="Times New Roman"/>
          <w:color w:val="1C1E21"/>
          <w:sz w:val="24"/>
          <w:szCs w:val="24"/>
          <w:highlight w:val="white"/>
          <w:lang w:val="pt-BR"/>
        </w:rPr>
        <w:t xml:space="preserve"> da população mais pobre nos territórios </w:t>
      </w:r>
      <w:r w:rsidR="008225AF">
        <w:rPr>
          <w:rFonts w:ascii="Times New Roman" w:hAnsi="Times New Roman" w:cs="Times New Roman"/>
          <w:color w:val="1C1E21"/>
          <w:sz w:val="24"/>
          <w:szCs w:val="24"/>
          <w:highlight w:val="white"/>
          <w:lang w:val="pt-BR"/>
        </w:rPr>
        <w:t>de</w:t>
      </w:r>
      <w:r w:rsidRPr="00366AB0">
        <w:rPr>
          <w:rFonts w:ascii="Times New Roman" w:hAnsi="Times New Roman" w:cs="Times New Roman"/>
          <w:color w:val="1C1E21"/>
          <w:sz w:val="24"/>
          <w:szCs w:val="24"/>
          <w:highlight w:val="white"/>
          <w:lang w:val="pt-BR"/>
        </w:rPr>
        <w:t xml:space="preserve"> disputa, como é por exemplo, o centro de São Paulo.</w:t>
      </w:r>
    </w:p>
    <w:p w14:paraId="5B15BB33" w14:textId="77777777" w:rsidR="007E3252" w:rsidRPr="00366AB0" w:rsidRDefault="007E1C1D" w:rsidP="000C1C0A">
      <w:pPr>
        <w:spacing w:line="360" w:lineRule="auto"/>
        <w:ind w:firstLine="360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b/>
          <w:noProof/>
          <w:sz w:val="24"/>
          <w:szCs w:val="24"/>
          <w:lang w:val="pt-BR"/>
        </w:rPr>
        <w:drawing>
          <wp:inline distT="114300" distB="114300" distL="114300" distR="114300" wp14:anchorId="32E6AA2B" wp14:editId="561B08BD">
            <wp:extent cx="5553635" cy="4497496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857" cy="4515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49F57" w14:textId="3D3D9A56" w:rsidR="000C1C0A" w:rsidRPr="00ED0B61" w:rsidRDefault="000C1C0A" w:rsidP="000C1C0A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 xml:space="preserve">Figura </w:t>
      </w: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begin"/>
      </w: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instrText xml:space="preserve"> SEQ Figura \* ARABIC </w:instrText>
      </w: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separate"/>
      </w:r>
      <w:r w:rsidR="009E20C7" w:rsidRPr="00ED0B61">
        <w:rPr>
          <w:rFonts w:ascii="Times New Roman" w:hAnsi="Times New Roman" w:cs="Times New Roman"/>
          <w:i w:val="0"/>
          <w:noProof/>
          <w:color w:val="000000" w:themeColor="text1"/>
          <w:sz w:val="20"/>
          <w:szCs w:val="20"/>
          <w:lang w:val="pt-BR"/>
        </w:rPr>
        <w:t>11</w:t>
      </w: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fldChar w:fldCharType="end"/>
      </w: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: Croqui da Estação da Luz</w:t>
      </w:r>
    </w:p>
    <w:p w14:paraId="6BBB6B31" w14:textId="22089338" w:rsidR="007E3252" w:rsidRPr="00ED0B61" w:rsidRDefault="000C1C0A" w:rsidP="000C1C0A">
      <w:pPr>
        <w:pStyle w:val="Caption"/>
        <w:spacing w:after="0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</w:pPr>
      <w:r w:rsidRPr="00ED0B61">
        <w:rPr>
          <w:rFonts w:ascii="Times New Roman" w:hAnsi="Times New Roman" w:cs="Times New Roman"/>
          <w:i w:val="0"/>
          <w:color w:val="000000" w:themeColor="text1"/>
          <w:sz w:val="20"/>
          <w:szCs w:val="20"/>
          <w:lang w:val="pt-BR"/>
        </w:rPr>
        <w:t>Fonte: a autora</w:t>
      </w:r>
    </w:p>
    <w:p w14:paraId="22058D25" w14:textId="77777777" w:rsidR="000C1C0A" w:rsidRDefault="000C1C0A" w:rsidP="00366A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A9DDFD7" w14:textId="77777777" w:rsidR="00D51900" w:rsidRDefault="00D51900" w:rsidP="00366A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5A1032F" w14:textId="77777777" w:rsidR="00D51900" w:rsidRDefault="00D51900" w:rsidP="00366A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D04183D" w14:textId="77777777" w:rsidR="00D51900" w:rsidRDefault="00D51900" w:rsidP="00366A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6276EA1" w14:textId="17BD2287" w:rsidR="00053AF6" w:rsidRDefault="00C85CA5" w:rsidP="00366A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Biblio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val="pt-BR"/>
        </w:rPr>
        <w:t>grafia</w:t>
      </w:r>
    </w:p>
    <w:p w14:paraId="4DE24C7D" w14:textId="77777777" w:rsidR="00A24E15" w:rsidRPr="00C85CA5" w:rsidRDefault="00A24E15" w:rsidP="00366A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74460EB5" w14:textId="2906C4AB" w:rsidR="00053AF6" w:rsidRDefault="00053AF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HARVEY, David. </w:t>
      </w:r>
      <w:r w:rsidRPr="00366AB0">
        <w:rPr>
          <w:rFonts w:ascii="Times New Roman" w:hAnsi="Times New Roman" w:cs="Times New Roman"/>
          <w:i/>
          <w:sz w:val="24"/>
          <w:szCs w:val="24"/>
          <w:lang w:val="pt-BR"/>
        </w:rPr>
        <w:t>Cidades rebeldes: do direito à cidade à revolução urbana.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São. Paulo: Martins</w:t>
      </w:r>
      <w:r w:rsidR="00F54C25"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Fontes, 2014.</w:t>
      </w:r>
      <w:r w:rsidR="00ED0B61">
        <w:rPr>
          <w:rFonts w:ascii="Times New Roman" w:hAnsi="Times New Roman" w:cs="Times New Roman"/>
          <w:sz w:val="24"/>
          <w:szCs w:val="24"/>
          <w:lang w:val="pt-BR"/>
        </w:rPr>
        <w:t xml:space="preserve"> Trad. Daniella </w:t>
      </w:r>
      <w:proofErr w:type="spellStart"/>
      <w:r w:rsidR="00ED0B61">
        <w:rPr>
          <w:rFonts w:ascii="Times New Roman" w:hAnsi="Times New Roman" w:cs="Times New Roman"/>
          <w:sz w:val="24"/>
          <w:szCs w:val="24"/>
          <w:lang w:val="pt-BR"/>
        </w:rPr>
        <w:t>Frabasili</w:t>
      </w:r>
      <w:proofErr w:type="spellEnd"/>
      <w:r w:rsidR="00ED0B61">
        <w:rPr>
          <w:rFonts w:ascii="Times New Roman" w:hAnsi="Times New Roman" w:cs="Times New Roman"/>
          <w:sz w:val="24"/>
          <w:szCs w:val="24"/>
          <w:lang w:val="pt-BR"/>
        </w:rPr>
        <w:t xml:space="preserve"> e Laís Bellini.</w:t>
      </w:r>
    </w:p>
    <w:p w14:paraId="6052D2D4" w14:textId="77777777" w:rsidR="004D0196" w:rsidRPr="00366AB0" w:rsidRDefault="004D019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1FDD207" w14:textId="0095FB1D" w:rsidR="00053AF6" w:rsidRDefault="00053AF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KOWARICK, Lúcio e FRÚGOLI JR, Heitor (orgs). </w:t>
      </w:r>
      <w:r w:rsidRPr="00366AB0">
        <w:rPr>
          <w:rFonts w:ascii="Times New Roman" w:hAnsi="Times New Roman" w:cs="Times New Roman"/>
          <w:i/>
          <w:sz w:val="24"/>
          <w:szCs w:val="24"/>
          <w:lang w:val="pt-BR"/>
        </w:rPr>
        <w:t>Pluralidade Urbana em São Paulo:</w:t>
      </w:r>
      <w:r w:rsidR="00F54C25" w:rsidRPr="00366AB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i/>
          <w:sz w:val="24"/>
          <w:szCs w:val="24"/>
          <w:lang w:val="pt-BR"/>
        </w:rPr>
        <w:t>Vulnerabilidade, marginalidade, ativismos.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 São Paulo: Ed.34, 2016.</w:t>
      </w:r>
    </w:p>
    <w:p w14:paraId="646EEFB4" w14:textId="77777777" w:rsidR="004D0196" w:rsidRDefault="004D019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5DA8AAF" w14:textId="7DA90F65" w:rsidR="00D51900" w:rsidRDefault="00D51900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LEFEBVRE, Henry. </w:t>
      </w:r>
      <w:r w:rsidRPr="00ED0B61">
        <w:rPr>
          <w:rFonts w:ascii="Times New Roman" w:hAnsi="Times New Roman" w:cs="Times New Roman"/>
          <w:i/>
          <w:iCs/>
          <w:sz w:val="24"/>
          <w:szCs w:val="24"/>
          <w:lang w:val="pt-BR"/>
        </w:rPr>
        <w:t>A revolução urbana.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Editora da UFMG, 1999.</w:t>
      </w:r>
      <w:r w:rsidR="00ED0B61">
        <w:rPr>
          <w:rFonts w:ascii="Times New Roman" w:hAnsi="Times New Roman" w:cs="Times New Roman"/>
          <w:sz w:val="24"/>
          <w:szCs w:val="24"/>
          <w:lang w:val="pt-BR"/>
        </w:rPr>
        <w:t xml:space="preserve"> Trad. Sérgio Martins</w:t>
      </w:r>
    </w:p>
    <w:p w14:paraId="0EEEC16F" w14:textId="77777777" w:rsidR="004D0196" w:rsidRDefault="004D019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94B6D17" w14:textId="58506D39" w:rsidR="00711CA2" w:rsidRDefault="00053AF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66AB0">
        <w:rPr>
          <w:rFonts w:ascii="Times New Roman" w:hAnsi="Times New Roman" w:cs="Times New Roman"/>
          <w:sz w:val="24"/>
          <w:szCs w:val="24"/>
          <w:lang w:val="pt-BR"/>
        </w:rPr>
        <w:t xml:space="preserve">ROLNIK, Raquel. </w:t>
      </w:r>
      <w:r w:rsidRPr="00366AB0">
        <w:rPr>
          <w:rFonts w:ascii="Times New Roman" w:hAnsi="Times New Roman" w:cs="Times New Roman"/>
          <w:i/>
          <w:sz w:val="24"/>
          <w:szCs w:val="24"/>
          <w:lang w:val="pt-BR"/>
        </w:rPr>
        <w:t xml:space="preserve">Guerra dos lugares: </w:t>
      </w:r>
      <w:r w:rsidRPr="00ED0B61">
        <w:rPr>
          <w:rFonts w:ascii="Times New Roman" w:hAnsi="Times New Roman" w:cs="Times New Roman"/>
          <w:iCs/>
          <w:sz w:val="24"/>
          <w:szCs w:val="24"/>
          <w:lang w:val="pt-BR"/>
        </w:rPr>
        <w:t>a colonização da terra e da moradia na era das</w:t>
      </w:r>
      <w:r w:rsidR="00F54C25" w:rsidRPr="00ED0B61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</w:t>
      </w:r>
      <w:r w:rsidRPr="00ED0B61">
        <w:rPr>
          <w:rFonts w:ascii="Times New Roman" w:hAnsi="Times New Roman" w:cs="Times New Roman"/>
          <w:iCs/>
          <w:sz w:val="24"/>
          <w:szCs w:val="24"/>
          <w:lang w:val="pt-BR"/>
        </w:rPr>
        <w:t>finanças.</w:t>
      </w:r>
      <w:r w:rsidRPr="00366AB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366AB0">
        <w:rPr>
          <w:rFonts w:ascii="Times New Roman" w:hAnsi="Times New Roman" w:cs="Times New Roman"/>
          <w:sz w:val="24"/>
          <w:szCs w:val="24"/>
          <w:lang w:val="pt-BR"/>
        </w:rPr>
        <w:t>São Paulo, Boitempo, 2015.</w:t>
      </w:r>
    </w:p>
    <w:p w14:paraId="787F6828" w14:textId="77777777" w:rsidR="004D0196" w:rsidRDefault="004D0196" w:rsidP="00ED0B6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CE3C8BB" w14:textId="26449CF7" w:rsidR="004D0196" w:rsidRPr="004D0196" w:rsidRDefault="004D0196" w:rsidP="00ED0B61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D0196">
        <w:rPr>
          <w:rFonts w:ascii="Times New Roman" w:hAnsi="Times New Roman" w:cs="Times New Roman"/>
          <w:sz w:val="24"/>
          <w:szCs w:val="24"/>
          <w:lang w:val="pt-BR"/>
        </w:rPr>
        <w:t xml:space="preserve">SÃO PAULO, </w:t>
      </w:r>
      <w:r w:rsidR="00ED0B61" w:rsidRPr="004D0196">
        <w:rPr>
          <w:rFonts w:ascii="Times New Roman" w:hAnsi="Times New Roman" w:cs="Times New Roman"/>
          <w:sz w:val="24"/>
          <w:szCs w:val="24"/>
          <w:lang w:val="pt-BR"/>
        </w:rPr>
        <w:t>Prefeitura Municipal</w:t>
      </w:r>
      <w:r w:rsidR="00ED0B61">
        <w:rPr>
          <w:rFonts w:ascii="Times New Roman" w:hAnsi="Times New Roman" w:cs="Times New Roman"/>
          <w:sz w:val="24"/>
          <w:szCs w:val="24"/>
          <w:lang w:val="pt-BR"/>
        </w:rPr>
        <w:t xml:space="preserve"> de</w:t>
      </w:r>
      <w:r w:rsidR="003F771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ED0B61">
        <w:rPr>
          <w:rFonts w:ascii="Times New Roman" w:hAnsi="Times New Roman" w:cs="Times New Roman"/>
          <w:i/>
          <w:iCs/>
          <w:sz w:val="24"/>
          <w:szCs w:val="24"/>
          <w:lang w:val="pt-BR"/>
        </w:rPr>
        <w:t>Projeto Nova Luz, Projeto Urbanístico Específico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2011. Acesso pelo sítio: </w:t>
      </w:r>
      <w:r w:rsidRPr="004D0196">
        <w:rPr>
          <w:rFonts w:ascii="Times New Roman" w:hAnsi="Times New Roman" w:cs="Times New Roman"/>
          <w:sz w:val="24"/>
          <w:szCs w:val="24"/>
          <w:lang w:val="pt-BR"/>
        </w:rPr>
        <w:t>https://www.prefeitura.sp.gov.br/cidade/secretarias/upload/desenvolvimento_urbano/arquivos/nova_luz/201108_PUE.pdf</w:t>
      </w:r>
    </w:p>
    <w:sectPr w:rsidR="004D0196" w:rsidRPr="004D0196" w:rsidSect="004A7DD9">
      <w:pgSz w:w="12240" w:h="15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50601" w14:textId="77777777" w:rsidR="00EE2AAD" w:rsidRDefault="00EE2AAD" w:rsidP="00A86D5D">
      <w:pPr>
        <w:spacing w:line="240" w:lineRule="auto"/>
      </w:pPr>
      <w:r>
        <w:separator/>
      </w:r>
    </w:p>
  </w:endnote>
  <w:endnote w:type="continuationSeparator" w:id="0">
    <w:p w14:paraId="4BB994E4" w14:textId="77777777" w:rsidR="00EE2AAD" w:rsidRDefault="00EE2AAD" w:rsidP="00A86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3DFD" w14:textId="77777777" w:rsidR="00EE2AAD" w:rsidRDefault="00EE2AAD" w:rsidP="00A86D5D">
      <w:pPr>
        <w:spacing w:line="240" w:lineRule="auto"/>
      </w:pPr>
      <w:r>
        <w:separator/>
      </w:r>
    </w:p>
  </w:footnote>
  <w:footnote w:type="continuationSeparator" w:id="0">
    <w:p w14:paraId="51F460DF" w14:textId="77777777" w:rsidR="00EE2AAD" w:rsidRDefault="00EE2AAD" w:rsidP="00A86D5D">
      <w:pPr>
        <w:spacing w:line="240" w:lineRule="auto"/>
      </w:pPr>
      <w:r>
        <w:continuationSeparator/>
      </w:r>
    </w:p>
  </w:footnote>
  <w:footnote w:id="1">
    <w:p w14:paraId="16D2108C" w14:textId="2B1A2838" w:rsidR="0032426E" w:rsidRPr="00A31EA2" w:rsidRDefault="0032426E" w:rsidP="00C85CA5">
      <w:pPr>
        <w:pStyle w:val="FootnoteText"/>
        <w:rPr>
          <w:rFonts w:ascii="Times New Roman" w:hAnsi="Times New Roman" w:cs="Times New Roman"/>
          <w:lang w:val="pt-BR"/>
        </w:rPr>
      </w:pPr>
      <w:r w:rsidRPr="00A31EA2">
        <w:rPr>
          <w:rStyle w:val="FootnoteReference"/>
          <w:rFonts w:ascii="Times New Roman" w:hAnsi="Times New Roman" w:cs="Times New Roman"/>
        </w:rPr>
        <w:footnoteRef/>
      </w:r>
      <w:r w:rsidRPr="00A31EA2">
        <w:rPr>
          <w:rFonts w:ascii="Times New Roman" w:hAnsi="Times New Roman" w:cs="Times New Roman"/>
          <w:lang w:val="pt-BR"/>
        </w:rPr>
        <w:t xml:space="preserve"> Cf. &lt; http://www.habitasampa.inf.br/files/CadernoPMH.pdf&gt; (acesso em 19/05/2018)</w:t>
      </w:r>
    </w:p>
  </w:footnote>
  <w:footnote w:id="2">
    <w:p w14:paraId="0A1BF9F9" w14:textId="672663D9" w:rsidR="00A86D5D" w:rsidRPr="00944C1D" w:rsidRDefault="00A86D5D" w:rsidP="00C85CA5">
      <w:pPr>
        <w:pStyle w:val="FootnoteText"/>
        <w:rPr>
          <w:lang w:val="pt-BR"/>
        </w:rPr>
      </w:pPr>
      <w:r w:rsidRPr="00A31EA2">
        <w:rPr>
          <w:rStyle w:val="FootnoteReference"/>
          <w:rFonts w:ascii="Times New Roman" w:hAnsi="Times New Roman" w:cs="Times New Roman"/>
        </w:rPr>
        <w:footnoteRef/>
      </w:r>
      <w:r w:rsidRPr="00A31EA2">
        <w:rPr>
          <w:rFonts w:ascii="Times New Roman" w:hAnsi="Times New Roman" w:cs="Times New Roman"/>
          <w:lang w:val="pt-BR"/>
        </w:rPr>
        <w:t xml:space="preserve"> </w:t>
      </w:r>
      <w:r w:rsidR="003446BF" w:rsidRPr="00A31EA2">
        <w:rPr>
          <w:rFonts w:ascii="Times New Roman" w:hAnsi="Times New Roman" w:cs="Times New Roman"/>
          <w:lang w:val="pt-BR"/>
        </w:rPr>
        <w:t>“Cracolândia”</w:t>
      </w:r>
      <w:r w:rsidR="00CE4EF1" w:rsidRPr="00A31EA2">
        <w:rPr>
          <w:rFonts w:ascii="Times New Roman" w:hAnsi="Times New Roman" w:cs="Times New Roman"/>
          <w:lang w:val="pt-BR"/>
        </w:rPr>
        <w:t xml:space="preserve">, é o nome popular com que ficou conhecida </w:t>
      </w:r>
      <w:r w:rsidR="00626F80" w:rsidRPr="00A31EA2">
        <w:rPr>
          <w:rFonts w:ascii="Times New Roman" w:hAnsi="Times New Roman" w:cs="Times New Roman"/>
          <w:lang w:val="pt-BR"/>
        </w:rPr>
        <w:t xml:space="preserve">essa região, ou melhor, </w:t>
      </w:r>
      <w:r w:rsidR="00683645" w:rsidRPr="00A31EA2">
        <w:rPr>
          <w:rFonts w:ascii="Times New Roman" w:hAnsi="Times New Roman" w:cs="Times New Roman"/>
          <w:lang w:val="pt-BR"/>
        </w:rPr>
        <w:t>essa territorialidade itinerante</w:t>
      </w:r>
      <w:r w:rsidR="00626F80" w:rsidRPr="00A31EA2">
        <w:rPr>
          <w:rFonts w:ascii="Times New Roman" w:hAnsi="Times New Roman" w:cs="Times New Roman"/>
          <w:lang w:val="pt-BR"/>
        </w:rPr>
        <w:t>, onde se estabelecem</w:t>
      </w:r>
      <w:r w:rsidR="00683645" w:rsidRPr="00A31EA2">
        <w:rPr>
          <w:rFonts w:ascii="Times New Roman" w:hAnsi="Times New Roman" w:cs="Times New Roman"/>
          <w:lang w:val="pt-BR"/>
        </w:rPr>
        <w:t xml:space="preserve"> as comunidades envolvidas com o uso e comércio de crack no centro da cidade de São Paulo. Importante </w:t>
      </w:r>
      <w:r w:rsidR="00626F80" w:rsidRPr="00A31EA2">
        <w:rPr>
          <w:rFonts w:ascii="Times New Roman" w:hAnsi="Times New Roman" w:cs="Times New Roman"/>
          <w:lang w:val="pt-BR"/>
        </w:rPr>
        <w:t>mencionar o caráter pejorativo e político desse termo, motivo pelo qual decidimos indicá-lo destacado entre aspas.</w:t>
      </w:r>
    </w:p>
  </w:footnote>
  <w:footnote w:id="3">
    <w:p w14:paraId="6E5182BF" w14:textId="08275825" w:rsidR="00F35BEB" w:rsidRPr="004A7DD9" w:rsidRDefault="00F35BEB" w:rsidP="00A31EA2">
      <w:pPr>
        <w:pStyle w:val="FootnoteText"/>
        <w:jc w:val="both"/>
        <w:rPr>
          <w:rFonts w:ascii="Times New Roman" w:hAnsi="Times New Roman" w:cs="Times New Roman"/>
          <w:sz w:val="22"/>
          <w:szCs w:val="22"/>
          <w:lang w:val="pt-BR"/>
        </w:rPr>
      </w:pPr>
      <w:r w:rsidRPr="004A7DD9">
        <w:rPr>
          <w:rStyle w:val="FootnoteReference"/>
          <w:rFonts w:ascii="Times New Roman" w:hAnsi="Times New Roman" w:cs="Times New Roman"/>
          <w:sz w:val="22"/>
          <w:szCs w:val="22"/>
        </w:rPr>
        <w:footnoteRef/>
      </w:r>
      <w:r w:rsidRPr="004A7DD9">
        <w:rPr>
          <w:rFonts w:ascii="Times New Roman" w:hAnsi="Times New Roman" w:cs="Times New Roman"/>
          <w:sz w:val="22"/>
          <w:szCs w:val="22"/>
          <w:lang w:val="pt-BR"/>
        </w:rPr>
        <w:t xml:space="preserve"> </w:t>
      </w:r>
      <w:r w:rsidRPr="00A31EA2">
        <w:rPr>
          <w:rFonts w:ascii="Times New Roman" w:hAnsi="Times New Roman" w:cs="Times New Roman"/>
          <w:lang w:val="pt-BR"/>
        </w:rPr>
        <w:t>Em meados de 1870, com a construção da Estação da Luz, a área se tornou ponto de referência para tráfego urbano e comercial da cidade, além de receber turistas e encontros da elite paulistana. Porém, hoje em dia, com o deslocamento das centralidades na cidade e o esvaziamento do centro, o bairro apresenta algumas mazelas, que</w:t>
      </w:r>
      <w:r w:rsidR="00A31EA2">
        <w:rPr>
          <w:rFonts w:ascii="Times New Roman" w:hAnsi="Times New Roman" w:cs="Times New Roman"/>
          <w:lang w:val="pt-BR"/>
        </w:rPr>
        <w:t>,</w:t>
      </w:r>
      <w:r w:rsidRPr="00A31EA2">
        <w:rPr>
          <w:rFonts w:ascii="Times New Roman" w:hAnsi="Times New Roman" w:cs="Times New Roman"/>
          <w:lang w:val="pt-BR"/>
        </w:rPr>
        <w:t xml:space="preserve"> como explicado anteriormente, são resultado de diversos processos urbanos e sociais na cidade.</w:t>
      </w:r>
    </w:p>
  </w:footnote>
  <w:footnote w:id="4">
    <w:p w14:paraId="7D44EF53" w14:textId="663D6C4C" w:rsidR="003E531A" w:rsidRPr="00A31EA2" w:rsidRDefault="003E531A" w:rsidP="003E531A">
      <w:pPr>
        <w:rPr>
          <w:sz w:val="20"/>
          <w:szCs w:val="20"/>
          <w:lang w:val="pt-BR"/>
        </w:rPr>
      </w:pPr>
      <w:r w:rsidRPr="00A31EA2">
        <w:rPr>
          <w:rStyle w:val="FootnoteReference"/>
          <w:sz w:val="20"/>
          <w:szCs w:val="20"/>
        </w:rPr>
        <w:footnoteRef/>
      </w:r>
      <w:r w:rsidRPr="00A31EA2">
        <w:rPr>
          <w:sz w:val="20"/>
          <w:szCs w:val="20"/>
          <w:lang w:val="pt-BR"/>
        </w:rPr>
        <w:t xml:space="preserve"> </w:t>
      </w:r>
      <w:r w:rsidRPr="00A31EA2">
        <w:rPr>
          <w:rFonts w:ascii="Times New Roman" w:hAnsi="Times New Roman" w:cs="Times New Roman"/>
          <w:sz w:val="20"/>
          <w:szCs w:val="20"/>
          <w:lang w:val="pt-BR"/>
        </w:rPr>
        <w:t xml:space="preserve">Cf. &lt; </w:t>
      </w:r>
      <w:r w:rsidR="009962B0" w:rsidRPr="00A31EA2">
        <w:rPr>
          <w:rFonts w:ascii="Times New Roman" w:hAnsi="Times New Roman" w:cs="Times New Roman"/>
          <w:sz w:val="20"/>
          <w:szCs w:val="20"/>
          <w:lang w:val="pt-BR"/>
        </w:rPr>
        <w:t>https://gestaourbana.prefeitura.sp.gov.br/wp-content/uploads/2016/12/OUCEN_caderno_GESTAO_URBANA.pdf</w:t>
      </w:r>
      <w:r w:rsidRPr="00A31EA2">
        <w:rPr>
          <w:rFonts w:ascii="Times New Roman" w:hAnsi="Times New Roman" w:cs="Times New Roman"/>
          <w:sz w:val="20"/>
          <w:szCs w:val="20"/>
          <w:lang w:val="pt-BR"/>
        </w:rPr>
        <w:t>&gt;</w:t>
      </w:r>
      <w:r w:rsidR="009962B0" w:rsidRPr="00A31EA2">
        <w:rPr>
          <w:rFonts w:ascii="Times New Roman" w:hAnsi="Times New Roman" w:cs="Times New Roman"/>
          <w:sz w:val="20"/>
          <w:szCs w:val="20"/>
          <w:lang w:val="pt-BR"/>
        </w:rPr>
        <w:t xml:space="preserve"> (acesso em 12/10/2019)</w:t>
      </w:r>
    </w:p>
  </w:footnote>
  <w:footnote w:id="5">
    <w:p w14:paraId="25A72528" w14:textId="68F06455" w:rsidR="000D6244" w:rsidRPr="00A31EA2" w:rsidRDefault="004D0196" w:rsidP="00A31EA2">
      <w:pPr>
        <w:pStyle w:val="FootnoteText"/>
        <w:jc w:val="both"/>
        <w:rPr>
          <w:rFonts w:ascii="Times New Roman" w:hAnsi="Times New Roman" w:cs="Times New Roman"/>
          <w:b/>
          <w:lang w:val="pt-BR"/>
        </w:rPr>
      </w:pPr>
      <w:r>
        <w:rPr>
          <w:rStyle w:val="FootnoteReference"/>
        </w:rPr>
        <w:footnoteRef/>
      </w:r>
      <w:r w:rsidRPr="004D0196">
        <w:rPr>
          <w:lang w:val="pt-BR"/>
        </w:rPr>
        <w:t xml:space="preserve"> </w:t>
      </w:r>
      <w:r w:rsidRPr="00A31EA2">
        <w:rPr>
          <w:rFonts w:ascii="Times New Roman" w:hAnsi="Times New Roman" w:cs="Times New Roman"/>
          <w:lang w:val="pt-BR"/>
        </w:rPr>
        <w:t>Zeis 1 são áreas ocupadas por população de baixa renda. Inclui favelas e loteamentos irregulares e alguns conjuntos habitacionais que não estão regulare</w:t>
      </w:r>
      <w:r w:rsidR="000D6244" w:rsidRPr="00A31EA2">
        <w:rPr>
          <w:rFonts w:ascii="Times New Roman" w:hAnsi="Times New Roman" w:cs="Times New Roman"/>
          <w:lang w:val="pt-BR"/>
        </w:rPr>
        <w:t>s ainda, e representam a maior parte das Zeis</w:t>
      </w:r>
      <w:r w:rsidRPr="00A31EA2">
        <w:rPr>
          <w:rFonts w:ascii="Times New Roman" w:hAnsi="Times New Roman" w:cs="Times New Roman"/>
          <w:b/>
          <w:lang w:val="pt-BR"/>
        </w:rPr>
        <w:t xml:space="preserve">. </w:t>
      </w:r>
    </w:p>
    <w:p w14:paraId="48FED354" w14:textId="08065B93" w:rsidR="000D6244" w:rsidRPr="00A31EA2" w:rsidRDefault="004D0196" w:rsidP="00A31EA2">
      <w:pPr>
        <w:pStyle w:val="FootnoteText"/>
        <w:jc w:val="both"/>
        <w:rPr>
          <w:rFonts w:ascii="Times New Roman" w:hAnsi="Times New Roman" w:cs="Times New Roman"/>
          <w:b/>
          <w:lang w:val="pt-BR"/>
        </w:rPr>
      </w:pPr>
      <w:r w:rsidRPr="00A31EA2">
        <w:rPr>
          <w:rFonts w:ascii="Times New Roman" w:hAnsi="Times New Roman" w:cs="Times New Roman"/>
          <w:lang w:val="pt-BR"/>
        </w:rPr>
        <w:t>Zeis 2 são áreas vazias e destinadas à produção de habitação de interesse soc</w:t>
      </w:r>
      <w:r w:rsidR="000D6244" w:rsidRPr="00A31EA2">
        <w:rPr>
          <w:rFonts w:ascii="Times New Roman" w:hAnsi="Times New Roman" w:cs="Times New Roman"/>
          <w:lang w:val="pt-BR"/>
        </w:rPr>
        <w:t>ial (60%</w:t>
      </w:r>
      <w:r w:rsidR="00A31EA2">
        <w:rPr>
          <w:rFonts w:ascii="Times New Roman" w:hAnsi="Times New Roman" w:cs="Times New Roman"/>
          <w:lang w:val="pt-BR"/>
        </w:rPr>
        <w:t xml:space="preserve"> </w:t>
      </w:r>
      <w:r w:rsidR="000D6244" w:rsidRPr="00A31EA2">
        <w:rPr>
          <w:rFonts w:ascii="Times New Roman" w:hAnsi="Times New Roman" w:cs="Times New Roman"/>
          <w:lang w:val="pt-BR"/>
        </w:rPr>
        <w:t>destinado</w:t>
      </w:r>
      <w:r w:rsidRPr="00A31EA2">
        <w:rPr>
          <w:rFonts w:ascii="Times New Roman" w:hAnsi="Times New Roman" w:cs="Times New Roman"/>
          <w:lang w:val="pt-BR"/>
        </w:rPr>
        <w:t xml:space="preserve"> para a população com renda de até 3 salários </w:t>
      </w:r>
      <w:r w:rsidR="000D6244" w:rsidRPr="00A31EA2">
        <w:rPr>
          <w:rFonts w:ascii="Times New Roman" w:hAnsi="Times New Roman" w:cs="Times New Roman"/>
          <w:lang w:val="pt-BR"/>
        </w:rPr>
        <w:t>mínimos</w:t>
      </w:r>
      <w:r w:rsidRPr="00A31EA2">
        <w:rPr>
          <w:rFonts w:ascii="Times New Roman" w:hAnsi="Times New Roman" w:cs="Times New Roman"/>
          <w:lang w:val="pt-BR"/>
        </w:rPr>
        <w:t xml:space="preserve"> e 40% para famílias com até seis salários </w:t>
      </w:r>
      <w:r w:rsidR="000D6244" w:rsidRPr="00A31EA2">
        <w:rPr>
          <w:rFonts w:ascii="Times New Roman" w:hAnsi="Times New Roman" w:cs="Times New Roman"/>
          <w:lang w:val="pt-BR"/>
        </w:rPr>
        <w:t>mínimos)</w:t>
      </w:r>
      <w:r w:rsidRPr="00A31EA2">
        <w:rPr>
          <w:rFonts w:ascii="Times New Roman" w:hAnsi="Times New Roman" w:cs="Times New Roman"/>
          <w:b/>
          <w:lang w:val="pt-BR"/>
        </w:rPr>
        <w:t xml:space="preserve">. </w:t>
      </w:r>
    </w:p>
    <w:p w14:paraId="068B4C5C" w14:textId="5CF148C4" w:rsidR="004D0196" w:rsidRPr="004D0196" w:rsidRDefault="004D0196" w:rsidP="00A31EA2">
      <w:pPr>
        <w:pStyle w:val="FootnoteText"/>
        <w:jc w:val="both"/>
        <w:rPr>
          <w:lang w:val="pt-BR"/>
        </w:rPr>
      </w:pPr>
      <w:r w:rsidRPr="00A31EA2">
        <w:rPr>
          <w:rFonts w:ascii="Times New Roman" w:hAnsi="Times New Roman" w:cs="Times New Roman"/>
          <w:lang w:val="pt-BR"/>
        </w:rPr>
        <w:t xml:space="preserve">Zeis 5 </w:t>
      </w:r>
      <w:r w:rsidR="000D6244" w:rsidRPr="00A31EA2">
        <w:rPr>
          <w:rFonts w:ascii="Times New Roman" w:hAnsi="Times New Roman" w:cs="Times New Roman"/>
          <w:lang w:val="pt-BR"/>
        </w:rPr>
        <w:t>se aplica a</w:t>
      </w:r>
      <w:r w:rsidRPr="00A31EA2">
        <w:rPr>
          <w:rFonts w:ascii="Times New Roman" w:hAnsi="Times New Roman" w:cs="Times New Roman"/>
          <w:lang w:val="pt-BR"/>
        </w:rPr>
        <w:t xml:space="preserve"> imóveis subtilizados para </w:t>
      </w:r>
      <w:r w:rsidR="000D6244" w:rsidRPr="00A31EA2">
        <w:rPr>
          <w:rFonts w:ascii="Times New Roman" w:hAnsi="Times New Roman" w:cs="Times New Roman"/>
          <w:lang w:val="pt-BR"/>
        </w:rPr>
        <w:t xml:space="preserve">fins de </w:t>
      </w:r>
      <w:r w:rsidRPr="00A31EA2">
        <w:rPr>
          <w:rFonts w:ascii="Times New Roman" w:hAnsi="Times New Roman" w:cs="Times New Roman"/>
          <w:lang w:val="pt-BR"/>
        </w:rPr>
        <w:t>construção de Habitação do Mer</w:t>
      </w:r>
      <w:r w:rsidR="000D6244" w:rsidRPr="00A31EA2">
        <w:rPr>
          <w:rFonts w:ascii="Times New Roman" w:hAnsi="Times New Roman" w:cs="Times New Roman"/>
          <w:lang w:val="pt-BR"/>
        </w:rPr>
        <w:t>cado Popular (HMP), sendo</w:t>
      </w:r>
      <w:r w:rsidRPr="00A31EA2">
        <w:rPr>
          <w:rFonts w:ascii="Times New Roman" w:hAnsi="Times New Roman" w:cs="Times New Roman"/>
          <w:lang w:val="pt-BR"/>
        </w:rPr>
        <w:t xml:space="preserve"> 40% para atender famílias que ganham de 3 a 6</w:t>
      </w:r>
      <w:r w:rsidR="000D6244" w:rsidRPr="00A31EA2">
        <w:rPr>
          <w:rFonts w:ascii="Times New Roman" w:hAnsi="Times New Roman" w:cs="Times New Roman"/>
          <w:lang w:val="pt-BR"/>
        </w:rPr>
        <w:t xml:space="preserve"> salários mínimos e outros 60% </w:t>
      </w:r>
      <w:r w:rsidRPr="00A31EA2">
        <w:rPr>
          <w:rFonts w:ascii="Times New Roman" w:hAnsi="Times New Roman" w:cs="Times New Roman"/>
          <w:lang w:val="pt-BR"/>
        </w:rPr>
        <w:t xml:space="preserve">para atender quem ganha até 10 salários </w:t>
      </w:r>
      <w:r w:rsidR="000D6244" w:rsidRPr="00A31EA2">
        <w:rPr>
          <w:rFonts w:ascii="Times New Roman" w:hAnsi="Times New Roman" w:cs="Times New Roman"/>
          <w:lang w:val="pt-BR"/>
        </w:rPr>
        <w:t>mínimos</w:t>
      </w:r>
      <w:r w:rsidR="00BB1057">
        <w:rPr>
          <w:rFonts w:ascii="Times New Roman" w:hAnsi="Times New Roman" w:cs="Times New Roman"/>
          <w:lang w:val="pt-BR"/>
        </w:rPr>
        <w:t xml:space="preserve">. </w:t>
      </w:r>
      <w:r w:rsidRPr="00A31EA2">
        <w:rPr>
          <w:rFonts w:ascii="Times New Roman" w:hAnsi="Times New Roman" w:cs="Times New Roman"/>
          <w:lang w:val="pt-BR"/>
        </w:rPr>
        <w:t>Geralmente essas áreas estão muito próximas de eixos bem estruturados, próximas de outras Zeis</w:t>
      </w:r>
      <w:r w:rsidR="000D6244" w:rsidRPr="00A31EA2">
        <w:rPr>
          <w:rFonts w:ascii="Times New Roman" w:hAnsi="Times New Roman" w:cs="Times New Roman"/>
          <w:lang w:val="pt-BR"/>
        </w:rPr>
        <w:t>.</w:t>
      </w:r>
    </w:p>
  </w:footnote>
  <w:footnote w:id="6">
    <w:p w14:paraId="59B450D8" w14:textId="10AEC1AB" w:rsidR="0033515C" w:rsidRPr="00BB1057" w:rsidRDefault="00091617" w:rsidP="00C85CA5">
      <w:pPr>
        <w:pStyle w:val="NormalWeb"/>
        <w:rPr>
          <w:sz w:val="20"/>
          <w:szCs w:val="20"/>
        </w:rPr>
      </w:pPr>
      <w:r w:rsidRPr="00BB1057">
        <w:rPr>
          <w:rStyle w:val="FootnoteReference"/>
          <w:sz w:val="20"/>
          <w:szCs w:val="20"/>
        </w:rPr>
        <w:footnoteRef/>
      </w:r>
      <w:r w:rsidRPr="00BB1057">
        <w:rPr>
          <w:sz w:val="20"/>
          <w:szCs w:val="20"/>
        </w:rPr>
        <w:t xml:space="preserve"> </w:t>
      </w:r>
      <w:r w:rsidR="0033515C" w:rsidRPr="00BB1057">
        <w:rPr>
          <w:sz w:val="20"/>
          <w:szCs w:val="20"/>
        </w:rPr>
        <w:t>Cf. &lt; https://mundareudaluz.files.wordpress.com/2018/04/miolo_caderno-plano- alternativo-luz-r07-2018-04-02.pdf&gt; (Acesso em 03/04/2018)</w:t>
      </w:r>
    </w:p>
    <w:p w14:paraId="2E5BF647" w14:textId="0A8BCDB4" w:rsidR="00091617" w:rsidRPr="0033515C" w:rsidRDefault="00091617">
      <w:pPr>
        <w:pStyle w:val="FootnoteText"/>
        <w:rPr>
          <w:lang w:val="pt-B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55610"/>
    <w:multiLevelType w:val="hybridMultilevel"/>
    <w:tmpl w:val="CF269EFE"/>
    <w:lvl w:ilvl="0" w:tplc="C79A044A">
      <w:start w:val="2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0" w:hanging="360"/>
      </w:pPr>
    </w:lvl>
    <w:lvl w:ilvl="2" w:tplc="0416001B" w:tentative="1">
      <w:start w:val="1"/>
      <w:numFmt w:val="lowerRoman"/>
      <w:lvlText w:val="%3."/>
      <w:lvlJc w:val="right"/>
      <w:pPr>
        <w:ind w:left="2860" w:hanging="180"/>
      </w:pPr>
    </w:lvl>
    <w:lvl w:ilvl="3" w:tplc="0416000F" w:tentative="1">
      <w:start w:val="1"/>
      <w:numFmt w:val="decimal"/>
      <w:lvlText w:val="%4."/>
      <w:lvlJc w:val="left"/>
      <w:pPr>
        <w:ind w:left="3580" w:hanging="360"/>
      </w:pPr>
    </w:lvl>
    <w:lvl w:ilvl="4" w:tplc="04160019" w:tentative="1">
      <w:start w:val="1"/>
      <w:numFmt w:val="lowerLetter"/>
      <w:lvlText w:val="%5."/>
      <w:lvlJc w:val="left"/>
      <w:pPr>
        <w:ind w:left="4300" w:hanging="360"/>
      </w:pPr>
    </w:lvl>
    <w:lvl w:ilvl="5" w:tplc="0416001B" w:tentative="1">
      <w:start w:val="1"/>
      <w:numFmt w:val="lowerRoman"/>
      <w:lvlText w:val="%6."/>
      <w:lvlJc w:val="right"/>
      <w:pPr>
        <w:ind w:left="5020" w:hanging="180"/>
      </w:pPr>
    </w:lvl>
    <w:lvl w:ilvl="6" w:tplc="0416000F" w:tentative="1">
      <w:start w:val="1"/>
      <w:numFmt w:val="decimal"/>
      <w:lvlText w:val="%7."/>
      <w:lvlJc w:val="left"/>
      <w:pPr>
        <w:ind w:left="5740" w:hanging="360"/>
      </w:pPr>
    </w:lvl>
    <w:lvl w:ilvl="7" w:tplc="04160019" w:tentative="1">
      <w:start w:val="1"/>
      <w:numFmt w:val="lowerLetter"/>
      <w:lvlText w:val="%8."/>
      <w:lvlJc w:val="left"/>
      <w:pPr>
        <w:ind w:left="6460" w:hanging="360"/>
      </w:pPr>
    </w:lvl>
    <w:lvl w:ilvl="8" w:tplc="0416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 w15:restartNumberingAfterBreak="0">
    <w:nsid w:val="259D310F"/>
    <w:multiLevelType w:val="hybridMultilevel"/>
    <w:tmpl w:val="6FAC9102"/>
    <w:lvl w:ilvl="0" w:tplc="52B2E3D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0" w:hanging="360"/>
      </w:pPr>
    </w:lvl>
    <w:lvl w:ilvl="2" w:tplc="0416001B" w:tentative="1">
      <w:start w:val="1"/>
      <w:numFmt w:val="lowerRoman"/>
      <w:lvlText w:val="%3."/>
      <w:lvlJc w:val="right"/>
      <w:pPr>
        <w:ind w:left="2500" w:hanging="180"/>
      </w:pPr>
    </w:lvl>
    <w:lvl w:ilvl="3" w:tplc="0416000F" w:tentative="1">
      <w:start w:val="1"/>
      <w:numFmt w:val="decimal"/>
      <w:lvlText w:val="%4."/>
      <w:lvlJc w:val="left"/>
      <w:pPr>
        <w:ind w:left="3220" w:hanging="360"/>
      </w:pPr>
    </w:lvl>
    <w:lvl w:ilvl="4" w:tplc="04160019" w:tentative="1">
      <w:start w:val="1"/>
      <w:numFmt w:val="lowerLetter"/>
      <w:lvlText w:val="%5."/>
      <w:lvlJc w:val="left"/>
      <w:pPr>
        <w:ind w:left="3940" w:hanging="360"/>
      </w:pPr>
    </w:lvl>
    <w:lvl w:ilvl="5" w:tplc="0416001B" w:tentative="1">
      <w:start w:val="1"/>
      <w:numFmt w:val="lowerRoman"/>
      <w:lvlText w:val="%6."/>
      <w:lvlJc w:val="right"/>
      <w:pPr>
        <w:ind w:left="4660" w:hanging="180"/>
      </w:pPr>
    </w:lvl>
    <w:lvl w:ilvl="6" w:tplc="0416000F" w:tentative="1">
      <w:start w:val="1"/>
      <w:numFmt w:val="decimal"/>
      <w:lvlText w:val="%7."/>
      <w:lvlJc w:val="left"/>
      <w:pPr>
        <w:ind w:left="5380" w:hanging="360"/>
      </w:pPr>
    </w:lvl>
    <w:lvl w:ilvl="7" w:tplc="04160019" w:tentative="1">
      <w:start w:val="1"/>
      <w:numFmt w:val="lowerLetter"/>
      <w:lvlText w:val="%8."/>
      <w:lvlJc w:val="left"/>
      <w:pPr>
        <w:ind w:left="6100" w:hanging="360"/>
      </w:pPr>
    </w:lvl>
    <w:lvl w:ilvl="8" w:tplc="0416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63057053"/>
    <w:multiLevelType w:val="hybridMultilevel"/>
    <w:tmpl w:val="B526052C"/>
    <w:lvl w:ilvl="0" w:tplc="240433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213A4C"/>
    <w:multiLevelType w:val="hybridMultilevel"/>
    <w:tmpl w:val="CDFCDEF2"/>
    <w:lvl w:ilvl="0" w:tplc="0416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252"/>
    <w:rsid w:val="00005CEF"/>
    <w:rsid w:val="00007A45"/>
    <w:rsid w:val="00053AF6"/>
    <w:rsid w:val="00067D73"/>
    <w:rsid w:val="000776CA"/>
    <w:rsid w:val="00091617"/>
    <w:rsid w:val="00092468"/>
    <w:rsid w:val="000B2644"/>
    <w:rsid w:val="000C0A00"/>
    <w:rsid w:val="000C1C0A"/>
    <w:rsid w:val="000C42D4"/>
    <w:rsid w:val="000C53D6"/>
    <w:rsid w:val="000D2692"/>
    <w:rsid w:val="000D47C3"/>
    <w:rsid w:val="000D6244"/>
    <w:rsid w:val="000F0210"/>
    <w:rsid w:val="000F77EC"/>
    <w:rsid w:val="001168FD"/>
    <w:rsid w:val="00116CB4"/>
    <w:rsid w:val="00123C89"/>
    <w:rsid w:val="0013060D"/>
    <w:rsid w:val="00171B8E"/>
    <w:rsid w:val="00175573"/>
    <w:rsid w:val="00182390"/>
    <w:rsid w:val="001C5496"/>
    <w:rsid w:val="00202736"/>
    <w:rsid w:val="00205201"/>
    <w:rsid w:val="00245606"/>
    <w:rsid w:val="00273AFC"/>
    <w:rsid w:val="00291B46"/>
    <w:rsid w:val="002A040C"/>
    <w:rsid w:val="002C7D2F"/>
    <w:rsid w:val="002E4ED3"/>
    <w:rsid w:val="002F6F79"/>
    <w:rsid w:val="00312DE7"/>
    <w:rsid w:val="0032426E"/>
    <w:rsid w:val="00331F00"/>
    <w:rsid w:val="0033515C"/>
    <w:rsid w:val="003446BF"/>
    <w:rsid w:val="00361C3C"/>
    <w:rsid w:val="00366AB0"/>
    <w:rsid w:val="00377051"/>
    <w:rsid w:val="003814FE"/>
    <w:rsid w:val="003E3A73"/>
    <w:rsid w:val="003E531A"/>
    <w:rsid w:val="003F2C88"/>
    <w:rsid w:val="003F7713"/>
    <w:rsid w:val="004301FC"/>
    <w:rsid w:val="00433A7D"/>
    <w:rsid w:val="004452FE"/>
    <w:rsid w:val="004756BE"/>
    <w:rsid w:val="004852FB"/>
    <w:rsid w:val="00487852"/>
    <w:rsid w:val="004A3092"/>
    <w:rsid w:val="004A7DD9"/>
    <w:rsid w:val="004B123D"/>
    <w:rsid w:val="004C24F5"/>
    <w:rsid w:val="004D0196"/>
    <w:rsid w:val="004E057C"/>
    <w:rsid w:val="004F25BF"/>
    <w:rsid w:val="004F696B"/>
    <w:rsid w:val="00510AB1"/>
    <w:rsid w:val="00512289"/>
    <w:rsid w:val="00516513"/>
    <w:rsid w:val="00536219"/>
    <w:rsid w:val="005377BC"/>
    <w:rsid w:val="00540407"/>
    <w:rsid w:val="00541AC8"/>
    <w:rsid w:val="005444D1"/>
    <w:rsid w:val="0056073A"/>
    <w:rsid w:val="005F738D"/>
    <w:rsid w:val="005F7ED5"/>
    <w:rsid w:val="00602DF5"/>
    <w:rsid w:val="00626F80"/>
    <w:rsid w:val="00683645"/>
    <w:rsid w:val="0069082F"/>
    <w:rsid w:val="00690A12"/>
    <w:rsid w:val="006C721B"/>
    <w:rsid w:val="00711CA2"/>
    <w:rsid w:val="007302A3"/>
    <w:rsid w:val="007363B5"/>
    <w:rsid w:val="007444AA"/>
    <w:rsid w:val="007B03A2"/>
    <w:rsid w:val="007E1C1D"/>
    <w:rsid w:val="007E3252"/>
    <w:rsid w:val="008225AF"/>
    <w:rsid w:val="008334F7"/>
    <w:rsid w:val="00835BF8"/>
    <w:rsid w:val="00847A6A"/>
    <w:rsid w:val="008773E8"/>
    <w:rsid w:val="008B79B9"/>
    <w:rsid w:val="008D5BAF"/>
    <w:rsid w:val="0091577E"/>
    <w:rsid w:val="009219FE"/>
    <w:rsid w:val="009260EA"/>
    <w:rsid w:val="00934815"/>
    <w:rsid w:val="00937F25"/>
    <w:rsid w:val="00944C1D"/>
    <w:rsid w:val="009962B0"/>
    <w:rsid w:val="009B6128"/>
    <w:rsid w:val="009D03F9"/>
    <w:rsid w:val="009D1F8C"/>
    <w:rsid w:val="009E20C7"/>
    <w:rsid w:val="009E5C0D"/>
    <w:rsid w:val="009F310D"/>
    <w:rsid w:val="009F34CE"/>
    <w:rsid w:val="00A00018"/>
    <w:rsid w:val="00A24E15"/>
    <w:rsid w:val="00A313E7"/>
    <w:rsid w:val="00A31EA2"/>
    <w:rsid w:val="00A55BBC"/>
    <w:rsid w:val="00A60DB6"/>
    <w:rsid w:val="00A7758D"/>
    <w:rsid w:val="00A836EC"/>
    <w:rsid w:val="00A86D5D"/>
    <w:rsid w:val="00A96A02"/>
    <w:rsid w:val="00AC7CCA"/>
    <w:rsid w:val="00AD2D81"/>
    <w:rsid w:val="00B17CCB"/>
    <w:rsid w:val="00B448E4"/>
    <w:rsid w:val="00B5390E"/>
    <w:rsid w:val="00B55ACC"/>
    <w:rsid w:val="00B60108"/>
    <w:rsid w:val="00B673A5"/>
    <w:rsid w:val="00B730DA"/>
    <w:rsid w:val="00B92560"/>
    <w:rsid w:val="00BB1057"/>
    <w:rsid w:val="00BC733E"/>
    <w:rsid w:val="00BF768F"/>
    <w:rsid w:val="00C152A7"/>
    <w:rsid w:val="00C15498"/>
    <w:rsid w:val="00C23CB2"/>
    <w:rsid w:val="00C6182D"/>
    <w:rsid w:val="00C76D96"/>
    <w:rsid w:val="00C771B7"/>
    <w:rsid w:val="00C85CA5"/>
    <w:rsid w:val="00C96E77"/>
    <w:rsid w:val="00CA659B"/>
    <w:rsid w:val="00CB3D71"/>
    <w:rsid w:val="00CC1B23"/>
    <w:rsid w:val="00CC5DEE"/>
    <w:rsid w:val="00CD0ED5"/>
    <w:rsid w:val="00CE4EF1"/>
    <w:rsid w:val="00CE6CEC"/>
    <w:rsid w:val="00D01F10"/>
    <w:rsid w:val="00D267D2"/>
    <w:rsid w:val="00D27B67"/>
    <w:rsid w:val="00D3036E"/>
    <w:rsid w:val="00D31279"/>
    <w:rsid w:val="00D35A0B"/>
    <w:rsid w:val="00D51900"/>
    <w:rsid w:val="00DA42F3"/>
    <w:rsid w:val="00DF3E3F"/>
    <w:rsid w:val="00DF5DAE"/>
    <w:rsid w:val="00E04CDE"/>
    <w:rsid w:val="00E31020"/>
    <w:rsid w:val="00E5432B"/>
    <w:rsid w:val="00E8775A"/>
    <w:rsid w:val="00E96569"/>
    <w:rsid w:val="00EB2D2E"/>
    <w:rsid w:val="00EB4F4D"/>
    <w:rsid w:val="00ED0B61"/>
    <w:rsid w:val="00ED51D1"/>
    <w:rsid w:val="00EE2AAD"/>
    <w:rsid w:val="00EF12AC"/>
    <w:rsid w:val="00F05D62"/>
    <w:rsid w:val="00F15051"/>
    <w:rsid w:val="00F34E3B"/>
    <w:rsid w:val="00F35BEB"/>
    <w:rsid w:val="00F42497"/>
    <w:rsid w:val="00F54C25"/>
    <w:rsid w:val="00F84A3B"/>
    <w:rsid w:val="00F936FA"/>
    <w:rsid w:val="00FA6FA0"/>
    <w:rsid w:val="00FD6C42"/>
    <w:rsid w:val="00FE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C3AB4"/>
  <w15:docId w15:val="{2AD577A8-BDD3-9F4E-8D75-5166485F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C1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C1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036E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86D5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86D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6D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86D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5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35BE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2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Header">
    <w:name w:val="header"/>
    <w:basedOn w:val="Normal"/>
    <w:link w:val="HeaderChar"/>
    <w:uiPriority w:val="99"/>
    <w:unhideWhenUsed/>
    <w:rsid w:val="00091617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617"/>
  </w:style>
  <w:style w:type="paragraph" w:styleId="Footer">
    <w:name w:val="footer"/>
    <w:basedOn w:val="Normal"/>
    <w:link w:val="FooterChar"/>
    <w:uiPriority w:val="99"/>
    <w:unhideWhenUsed/>
    <w:rsid w:val="00091617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617"/>
  </w:style>
  <w:style w:type="character" w:customStyle="1" w:styleId="MenoPendente1">
    <w:name w:val="Menção Pendente1"/>
    <w:basedOn w:val="DefaultParagraphFont"/>
    <w:uiPriority w:val="99"/>
    <w:semiHidden/>
    <w:unhideWhenUsed/>
    <w:rsid w:val="0033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515C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85CA5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35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7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3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9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mcotrimferreira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afonso.celso.castro@gmail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C19613-09E7-974B-99E0-C6ACF568E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19</Pages>
  <Words>4412</Words>
  <Characters>25151</Characters>
  <Application>Microsoft Office Word</Application>
  <DocSecurity>0</DocSecurity>
  <Lines>209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Afonso</dc:creator>
  <cp:lastModifiedBy>Fernanda Dusse</cp:lastModifiedBy>
  <cp:revision>13</cp:revision>
  <cp:lastPrinted>2019-08-13T01:11:00Z</cp:lastPrinted>
  <dcterms:created xsi:type="dcterms:W3CDTF">2019-10-13T14:57:00Z</dcterms:created>
  <dcterms:modified xsi:type="dcterms:W3CDTF">2019-11-20T17:47:00Z</dcterms:modified>
</cp:coreProperties>
</file>