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7F1E3" w14:textId="132D58B0" w:rsidR="002E459A" w:rsidRPr="007F4404" w:rsidRDefault="00AE5996" w:rsidP="00DA55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perpetuação do latifúndio no </w:t>
      </w:r>
      <w:r w:rsidR="00BB3E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Brasil </w:t>
      </w:r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partir da</w:t>
      </w:r>
      <w:r w:rsidR="00BB3E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lógica colonial; </w:t>
      </w:r>
      <w:r w:rsidR="00693F87" w:rsidRP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The </w:t>
      </w:r>
      <w:proofErr w:type="spellStart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maintenance</w:t>
      </w:r>
      <w:proofErr w:type="spellEnd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</w:t>
      </w:r>
      <w:proofErr w:type="spellEnd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the</w:t>
      </w:r>
      <w:proofErr w:type="spellEnd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latifundium</w:t>
      </w:r>
      <w:proofErr w:type="spellEnd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in </w:t>
      </w:r>
      <w:proofErr w:type="spellStart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Brazil</w:t>
      </w:r>
      <w:proofErr w:type="spellEnd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as </w:t>
      </w:r>
      <w:proofErr w:type="spellStart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from</w:t>
      </w:r>
      <w:proofErr w:type="spellEnd"/>
      <w:r w:rsid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693F87" w:rsidRP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the</w:t>
      </w:r>
      <w:proofErr w:type="spellEnd"/>
      <w:r w:rsidR="00693F87" w:rsidRP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colonial </w:t>
      </w:r>
      <w:proofErr w:type="spellStart"/>
      <w:r w:rsidR="00693F87" w:rsidRPr="00693F8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logic</w:t>
      </w:r>
      <w:proofErr w:type="spellEnd"/>
    </w:p>
    <w:p w14:paraId="4FD76C6D" w14:textId="77777777" w:rsidR="00E23071" w:rsidRPr="007F4404" w:rsidRDefault="00E23071" w:rsidP="002E459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CEE4EC" w14:textId="38117FB2" w:rsidR="002E459A" w:rsidRPr="007F4404" w:rsidRDefault="002E459A" w:rsidP="00B43F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48310295" w14:textId="27BDF545" w:rsidR="002E459A" w:rsidRPr="007F4404" w:rsidRDefault="002E459A" w:rsidP="006C68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Resumo: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O presente trabalho pretende conjecturar e subsidiar uma discussão crítica sobre o sobre a consideração de que a terra é, historicamente, parte da acumulação de um capitalismo global. Partindo de uma abordagem 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que atravessa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momentos significativos da formação do Brasil, diz-se sobre a terra como fonte primári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a de acumulação do capital e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como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matéria para 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>a evolução do processo de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globalizaçã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>o, entendendo-o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como parte de um projeto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hegemônico sócio-político-econô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mico, imposto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ao território brasileiro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, bem com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>o a outros países ao sul global.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 xml:space="preserve">Esse processo 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influi estruturalmente 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>n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a regulamentação das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terras 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constituindo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um projeto permanente de colonização que se desenvolve até os dias de hoje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 xml:space="preserve"> Atualmente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>c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aracteriza-se esse processo com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práticas contemporâne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as </w:t>
      </w:r>
      <w:r w:rsidR="00D57DD1">
        <w:rPr>
          <w:rFonts w:ascii="Arial" w:eastAsia="Times New Roman" w:hAnsi="Arial" w:cs="Arial"/>
          <w:sz w:val="20"/>
          <w:szCs w:val="20"/>
          <w:lang w:eastAsia="pt-BR"/>
        </w:rPr>
        <w:t>provenientes do neoliberalismo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. O trabalho discorre sobre como o capitalismo central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, e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toda sua rede constituinte, atua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sobre a 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terra, especificamente sobre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terra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>s ao sul global,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historicamente colonizada pelo </w:t>
      </w:r>
      <w:r w:rsidR="0085517A" w:rsidRPr="007F4404">
        <w:rPr>
          <w:rFonts w:ascii="Arial" w:eastAsia="Times New Roman" w:hAnsi="Arial" w:cs="Arial"/>
          <w:sz w:val="20"/>
          <w:szCs w:val="20"/>
          <w:lang w:eastAsia="pt-BR"/>
        </w:rPr>
        <w:t>Norte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912131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e sentenciadas pelo processo de globalização desde as grandes navegações. Diz-se também da construção de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discursos de modernização para camuflar novas 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possibilidades </w:t>
      </w:r>
      <w:r w:rsidR="00D57DD1">
        <w:rPr>
          <w:rFonts w:ascii="Arial" w:eastAsia="Times New Roman" w:hAnsi="Arial" w:cs="Arial"/>
          <w:sz w:val="20"/>
          <w:szCs w:val="20"/>
          <w:lang w:eastAsia="pt-BR"/>
        </w:rPr>
        <w:t xml:space="preserve">de 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>velar a manute</w:t>
      </w:r>
      <w:r w:rsidR="0085517A">
        <w:rPr>
          <w:rFonts w:ascii="Arial" w:eastAsia="Times New Roman" w:hAnsi="Arial" w:cs="Arial"/>
          <w:sz w:val="20"/>
          <w:szCs w:val="20"/>
          <w:lang w:eastAsia="pt-BR"/>
        </w:rPr>
        <w:t>nção das relações históricas de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poder</w:t>
      </w:r>
      <w:r w:rsidR="00D31E2E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57DD1">
        <w:rPr>
          <w:rFonts w:ascii="Arial" w:eastAsia="Times New Roman" w:hAnsi="Arial" w:cs="Arial"/>
          <w:sz w:val="20"/>
          <w:szCs w:val="20"/>
          <w:lang w:eastAsia="pt-BR"/>
        </w:rPr>
        <w:t xml:space="preserve">com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formas 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cada vez mais </w:t>
      </w:r>
      <w:r w:rsidR="00D31E2E">
        <w:rPr>
          <w:rFonts w:ascii="Arial" w:eastAsia="Times New Roman" w:hAnsi="Arial" w:cs="Arial"/>
          <w:sz w:val="20"/>
          <w:szCs w:val="20"/>
          <w:lang w:eastAsia="pt-BR"/>
        </w:rPr>
        <w:t>cruéis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de acumulação d</w:t>
      </w:r>
      <w:r w:rsidR="00DF5BDC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o capital.  Trazendo um apanhado de leis e marcos históricos, espera-se com esse trabalho fornecer bases críticas para pesquisas sobre que tratem sobre globalização, financeirização e produção do espaço.   </w:t>
      </w:r>
    </w:p>
    <w:p w14:paraId="1B3CE799" w14:textId="77777777" w:rsidR="00DF5BDC" w:rsidRPr="007F4404" w:rsidRDefault="00DF5BDC" w:rsidP="00DF5B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0B4C65" w14:textId="19EFBD88" w:rsidR="00D57DD1" w:rsidRDefault="002E459A" w:rsidP="00D57D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Palavras chave: globalização; terra; política. </w:t>
      </w:r>
    </w:p>
    <w:p w14:paraId="1D46D569" w14:textId="77777777" w:rsidR="00D57DD1" w:rsidRPr="007F4404" w:rsidRDefault="00D57DD1" w:rsidP="00D57D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8819A" w14:textId="77777777" w:rsidR="00406C4C" w:rsidRDefault="002E459A" w:rsidP="00A95B2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</w:pPr>
      <w:r w:rsidRPr="007F4404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Abstract:</w:t>
      </w:r>
      <w:r w:rsidR="00A95B20" w:rsidRPr="007F4404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 xml:space="preserve"> </w:t>
      </w:r>
    </w:p>
    <w:p w14:paraId="3481F26E" w14:textId="4F8B54E1" w:rsidR="002E459A" w:rsidRPr="007F4404" w:rsidRDefault="00406C4C" w:rsidP="00A9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This paper intends to conjecture and support a critical discussion 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considering the land, historically, as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part 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 xml:space="preserve">of the </w:t>
      </w:r>
      <w:r w:rsidRPr="00406C4C">
        <w:rPr>
          <w:rFonts w:ascii="Arial" w:eastAsia="Times New Roman" w:hAnsi="Arial" w:cs="Arial"/>
          <w:sz w:val="20"/>
          <w:szCs w:val="20"/>
          <w:lang w:val="en-US" w:eastAsia="pt-BR"/>
        </w:rPr>
        <w:t>global capitalist accumulation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. Starting from an approach that cr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 xml:space="preserve">osses significant moments in Brazil’s 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formation 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>history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, it is said about the land as a primary sou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 xml:space="preserve">rce of capital accumulation 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as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well as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 matter for the evolution of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the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globalization</w:t>
      </w:r>
      <w:r>
        <w:rPr>
          <w:rFonts w:ascii="Arial" w:eastAsia="Times New Roman" w:hAnsi="Arial" w:cs="Arial"/>
          <w:sz w:val="20"/>
          <w:szCs w:val="20"/>
          <w:lang w:val="en-US" w:eastAsia="pt-BR"/>
        </w:rPr>
        <w:t xml:space="preserve"> process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, understanding it as part of a hegemonic socio-politi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>cal-economic project, imposed not only for the Brazilian territory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 xml:space="preserve">but for 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other c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 xml:space="preserve">ountries in the global south. This process structurally influences the </w:t>
      </w:r>
      <w:proofErr w:type="spellStart"/>
      <w:r w:rsidR="00D31E2E">
        <w:rPr>
          <w:rFonts w:ascii="Arial" w:eastAsia="Times New Roman" w:hAnsi="Arial" w:cs="Arial"/>
          <w:sz w:val="20"/>
          <w:szCs w:val="20"/>
          <w:lang w:val="en-US" w:eastAsia="pt-BR"/>
        </w:rPr>
        <w:t>r</w:t>
      </w:r>
      <w:r w:rsidR="0085517A" w:rsidRPr="0085517A">
        <w:rPr>
          <w:rFonts w:ascii="Arial" w:eastAsia="Times New Roman" w:hAnsi="Arial" w:cs="Arial"/>
          <w:sz w:val="20"/>
          <w:szCs w:val="20"/>
          <w:lang w:val="en-US" w:eastAsia="pt-BR"/>
        </w:rPr>
        <w:t>egulamentation</w:t>
      </w:r>
      <w:proofErr w:type="spellEnd"/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of lands, and constitutes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 permanent colonization project tha</w:t>
      </w:r>
      <w:r w:rsidR="0085517A">
        <w:rPr>
          <w:rFonts w:ascii="Arial" w:eastAsia="Times New Roman" w:hAnsi="Arial" w:cs="Arial"/>
          <w:sz w:val="20"/>
          <w:szCs w:val="20"/>
          <w:lang w:val="en-US" w:eastAsia="pt-BR"/>
        </w:rPr>
        <w:t>t has been developed until today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. </w:t>
      </w:r>
      <w:r w:rsidR="00D57DD1" w:rsidRPr="00D57DD1">
        <w:rPr>
          <w:rFonts w:ascii="Arial" w:eastAsia="Times New Roman" w:hAnsi="Arial" w:cs="Arial"/>
          <w:sz w:val="20"/>
          <w:szCs w:val="20"/>
          <w:lang w:val="en-US" w:eastAsia="pt-BR"/>
        </w:rPr>
        <w:t>Currently, this process is presented with con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temporary practices provided for </w:t>
      </w:r>
      <w:r w:rsidR="00D57DD1" w:rsidRPr="00D57DD1">
        <w:rPr>
          <w:rFonts w:ascii="Arial" w:eastAsia="Times New Roman" w:hAnsi="Arial" w:cs="Arial"/>
          <w:sz w:val="20"/>
          <w:szCs w:val="20"/>
          <w:lang w:val="en-US" w:eastAsia="pt-BR"/>
        </w:rPr>
        <w:t>neoliberalism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. The work discusses how central capitalism, and all its c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onstituent network, acts on 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land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subjects, espec</w:t>
      </w:r>
      <w:r w:rsidR="00D57DD1" w:rsidRPr="007F4404">
        <w:rPr>
          <w:rFonts w:ascii="Arial" w:eastAsia="Times New Roman" w:hAnsi="Arial" w:cs="Arial"/>
          <w:sz w:val="20"/>
          <w:szCs w:val="20"/>
          <w:lang w:val="en-US" w:eastAsia="pt-BR"/>
        </w:rPr>
        <w:t>ially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on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global south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>’ lands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historically colonized by the north, and sentenced by the process of globalization since the great navigations. It is also said 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>about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t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he construction of 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modernization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discourses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="00D57DD1">
        <w:rPr>
          <w:rFonts w:ascii="Arial" w:eastAsia="Times New Roman" w:hAnsi="Arial" w:cs="Arial"/>
          <w:sz w:val="20"/>
          <w:szCs w:val="20"/>
          <w:lang w:val="en-US" w:eastAsia="pt-BR"/>
        </w:rPr>
        <w:t>as an effort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to camouflage new possibilities to ensure the maintenance of historical relation</w:t>
      </w:r>
      <w:r w:rsidR="00D31E2E">
        <w:rPr>
          <w:rFonts w:ascii="Arial" w:eastAsia="Times New Roman" w:hAnsi="Arial" w:cs="Arial"/>
          <w:sz w:val="20"/>
          <w:szCs w:val="20"/>
          <w:lang w:val="en-US" w:eastAsia="pt-BR"/>
        </w:rPr>
        <w:t>s of power, increasing cruel</w:t>
      </w: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forms of capital accumulation. Bringing an overview of laws and historical landmarks, this work is expected to provide critical bases for research on globalization, financialization and the production of space.</w:t>
      </w:r>
    </w:p>
    <w:p w14:paraId="30B778DE" w14:textId="77777777" w:rsidR="00863435" w:rsidRPr="007F4404" w:rsidRDefault="00863435" w:rsidP="0086343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</w:p>
    <w:p w14:paraId="7BF5D8BB" w14:textId="00BB68FE" w:rsidR="002E459A" w:rsidRPr="007F4404" w:rsidRDefault="002E459A" w:rsidP="0086343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7F4404">
        <w:rPr>
          <w:rFonts w:ascii="Arial" w:eastAsia="Times New Roman" w:hAnsi="Arial" w:cs="Arial"/>
          <w:sz w:val="20"/>
          <w:szCs w:val="20"/>
          <w:lang w:val="en-US" w:eastAsia="pt-BR"/>
        </w:rPr>
        <w:t>Key-words: globalization; land; politics.</w:t>
      </w:r>
    </w:p>
    <w:p w14:paraId="4BDE5AE1" w14:textId="4175F02A" w:rsidR="00863435" w:rsidRPr="007F4404" w:rsidRDefault="00863435" w:rsidP="0086343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</w:p>
    <w:p w14:paraId="21886C15" w14:textId="77777777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Introdução</w:t>
      </w:r>
    </w:p>
    <w:p w14:paraId="09A715B5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F87D72" w14:textId="77777777" w:rsidR="002E459A" w:rsidRPr="007F4404" w:rsidRDefault="002E459A" w:rsidP="002E459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A imposição de políticas de dominação no território brasileiro, enquanto parte da América Latina, foi objetivo claro de uma Europa com ânsia por dominação territorial pautada na globalização e colonização, com início em 1400, cujo processo de expansão se iniciou por Portugal, se estendendo para os demais países europeus (FURTADO, 2001, 58). A construção deste trabalho traz leituras sobre relações políticas históricas que ainda influem nas políticas fundiárias do Brasil, objetivando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justificar um paralelo entre globalização, colonialismo, neoliberalismo e suas interf</w:t>
      </w:r>
      <w:r w:rsidR="00190E0D" w:rsidRPr="007F4404">
        <w:rPr>
          <w:rFonts w:ascii="Arial" w:eastAsia="Times New Roman" w:hAnsi="Arial" w:cs="Arial"/>
          <w:sz w:val="24"/>
          <w:szCs w:val="24"/>
          <w:lang w:eastAsia="pt-BR"/>
        </w:rPr>
        <w:t>erências nas terras brasileiras.</w:t>
      </w:r>
    </w:p>
    <w:p w14:paraId="7CF15D32" w14:textId="77777777" w:rsidR="009043D0" w:rsidRPr="007F4404" w:rsidRDefault="00F66B0E" w:rsidP="009A3DE0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O raciocínio do trabalho constrói em um primeiro momento entendimentos sobre a terra enquanto fonte para acumulação do capital e</w:t>
      </w:r>
      <w:r w:rsidR="00CB3697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as relações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com a expansão e projeto colonizador da Europa a partir da imposição do </w:t>
      </w:r>
      <w:r w:rsidRPr="007F440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plantation,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enquanto </w:t>
      </w:r>
      <w:r w:rsidR="00CB3697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um primeiro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modelo para </w:t>
      </w:r>
      <w:r w:rsidR="00CB3697" w:rsidRPr="007F4404">
        <w:rPr>
          <w:rFonts w:ascii="Arial" w:eastAsia="Times New Roman" w:hAnsi="Arial" w:cs="Arial"/>
          <w:sz w:val="24"/>
          <w:szCs w:val="24"/>
          <w:lang w:eastAsia="pt-BR"/>
        </w:rPr>
        <w:t>o processo de globalização. Contextualizando o Brasil nesse período, diz-se da Lei de terras de 1850 enquanto novo marco sobre propriedade e sua manutenção do latifúndio.</w:t>
      </w:r>
    </w:p>
    <w:p w14:paraId="52913EC0" w14:textId="77777777" w:rsidR="009A3DE0" w:rsidRPr="007F4404" w:rsidRDefault="00CB3697" w:rsidP="009A3DE0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Em um segundo momento descreve-se novas ordenações do capitalismo global, neoliberalismo, </w:t>
      </w:r>
      <w:r w:rsidR="009A3DE0" w:rsidRPr="007F4404">
        <w:rPr>
          <w:rFonts w:ascii="Arial" w:eastAsia="Times New Roman" w:hAnsi="Arial" w:cs="Arial"/>
          <w:sz w:val="24"/>
          <w:szCs w:val="24"/>
          <w:lang w:eastAsia="pt-BR"/>
        </w:rPr>
        <w:t>dizendo sobre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formas de interferências intencionais nos territórios do sul global com fim </w:t>
      </w:r>
      <w:r w:rsidR="009A3DE0" w:rsidRPr="007F4404">
        <w:rPr>
          <w:rFonts w:ascii="Arial" w:eastAsia="Times New Roman" w:hAnsi="Arial" w:cs="Arial"/>
          <w:sz w:val="24"/>
          <w:szCs w:val="24"/>
          <w:lang w:eastAsia="pt-BR"/>
        </w:rPr>
        <w:t>de impor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uma condição subserviente </w:t>
      </w:r>
      <w:r w:rsidR="009A3DE0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a partir do desenvolvimento da lógica de globalização colonialidade. </w:t>
      </w:r>
    </w:p>
    <w:p w14:paraId="292121B2" w14:textId="2A7957A1" w:rsidR="00812C0A" w:rsidRPr="007F4404" w:rsidRDefault="009A3DE0" w:rsidP="002E058E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Então o trabalho </w:t>
      </w:r>
      <w:r w:rsidR="00063D9D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também faz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um apanhado histórico das principais leis sobre terra no Brasil, no intuit</w:t>
      </w:r>
      <w:r w:rsidR="009043D0" w:rsidRPr="007F4404">
        <w:rPr>
          <w:rFonts w:ascii="Arial" w:eastAsia="Times New Roman" w:hAnsi="Arial" w:cs="Arial"/>
          <w:sz w:val="24"/>
          <w:szCs w:val="24"/>
          <w:lang w:eastAsia="pt-BR"/>
        </w:rPr>
        <w:t>o de explicitar a contínua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manutenção da lógica do latifú</w:t>
      </w:r>
      <w:r w:rsidR="009043D0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ndio e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condescendência com </w:t>
      </w:r>
      <w:r w:rsidR="009043D0" w:rsidRPr="007F4404">
        <w:rPr>
          <w:rFonts w:ascii="Arial" w:eastAsia="Times New Roman" w:hAnsi="Arial" w:cs="Arial"/>
          <w:sz w:val="24"/>
          <w:szCs w:val="24"/>
          <w:lang w:eastAsia="pt-BR"/>
        </w:rPr>
        <w:t>exploração global do território, em todo o desenvolvimento das questões fundiárias no país. Culminando no rastreamento das principais medidas dos governos pós-Golpe de 2016 sobre as terras brasileiras. Concluindo, o trabalho acaba por construir um apanhado de leituras necessárias para o entendimento das diretrizes fundiárias atuais, realizando que países como o Brasil, enquanto país de capitalismo dependente, permanece fazenda latifundiária para alimentar o mundo.</w:t>
      </w:r>
    </w:p>
    <w:p w14:paraId="0C238958" w14:textId="77777777" w:rsidR="00063D9D" w:rsidRPr="007F4404" w:rsidRDefault="00063D9D" w:rsidP="002E058E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166A40" w14:textId="4A589DE1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Terra como fonte primária de acumulação do capital </w:t>
      </w:r>
    </w:p>
    <w:p w14:paraId="31F7091E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5A514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Se observamos que é justamente a busca do fim das fronteiras, principalmente comerciais, que objetivou a expansão da Europa, as chamadas ‘grandes navegações’ são o início do que hoje denominamos globalização, pois durante essas expansões se iniciou um processo de totalização, que culminou com uma totalidade empírica (SANTOS, 2014, p. 115), em que</w:t>
      </w:r>
    </w:p>
    <w:p w14:paraId="583AE0A8" w14:textId="77777777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5C9788D" w14:textId="77777777" w:rsidR="002E459A" w:rsidRPr="007F4404" w:rsidRDefault="002E459A" w:rsidP="00063D9D">
      <w:pPr>
        <w:spacing w:after="0" w:line="24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A transformação do todo, que é uma integral, em suas partes – que são as suas diferenciais, dá-se, também, por uma distribuição ordenada, no espaço, dos impactos do Todo, por meio de suas variáveis. As ações não se localizam de forma cega. Os homens também não. O mesmo se dá com as instituições e infraestruturas. É esse o próprio princípio de diferenciação entre lugares, produzindo combinações específicas em que as variáveis do todo se encontram de forma particular. Assim, os lugares reproduzem o País e o Mundo segundo uma ordem. É essa ordem unitária que cria a diversidade,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pois as determinações do todo se dão de forma diferente, quantitativa e qualitativamente, para cada lugar. […] O desenvolvimento desigual e combinado é, pois, uma ordem, cuja inteligência é apenas possível mediante o processo de totalização, isto é, o processo de transformação de uma totalidade em outra totalidade. (SANTOS, 2014, p. 125)</w:t>
      </w:r>
    </w:p>
    <w:p w14:paraId="7D22AC29" w14:textId="77777777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6339329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Veja que, conforme afirma Milton Santos (2014), não é que o processo de totalidade seja estático, ele muda de acordo com o espaço, com a sociedade, haja vista que a ideologia, no lugar de ser uma abstração, acaba tomando a própria realidade (SANTOS, 2014, p. 127).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3A165E1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Para caracterizar ainda mais essa totalidade, consequência da globalização, é necessário dizer, mesmo que brevemente, da discrepância de forças desenhadas pelo conceito literal de colonização, relação sócio-política intrínseca às descrições históricas do século XVI entre Europa-América Latina, a qual Celso Furtado, citando René </w:t>
      </w:r>
      <w:proofErr w:type="spellStart"/>
      <w:r w:rsidRPr="007F4404">
        <w:rPr>
          <w:rFonts w:ascii="Arial" w:eastAsia="Times New Roman" w:hAnsi="Arial" w:cs="Arial"/>
          <w:sz w:val="24"/>
          <w:szCs w:val="24"/>
          <w:lang w:eastAsia="pt-BR"/>
        </w:rPr>
        <w:t>Munier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>, conceitua:</w:t>
      </w:r>
    </w:p>
    <w:p w14:paraId="11CE6EB7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7A0D44" w14:textId="58C7E1F5" w:rsidR="002E459A" w:rsidRPr="007F4404" w:rsidRDefault="00063D9D" w:rsidP="00063D9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Analisons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leurs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élements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constitutifs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pour dire à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quelles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conditions on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peut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parler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de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colonisation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  <w:proofErr w:type="gram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pour 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qu’il</w:t>
      </w:r>
      <w:proofErr w:type="spellEnd"/>
      <w:proofErr w:type="gram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y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ait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pénétration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ou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communication des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peuples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il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faut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premièrement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que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soit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réalisée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l’émigration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des hommes;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il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faut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secondement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que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soit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realisée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une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domination des pays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neufs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ou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une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sujection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des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peuples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neufs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l’eémigration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sans la domination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n’est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point la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colonisation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ni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non plus ne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l’est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la domination sans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l’émigration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[...</w:t>
      </w:r>
      <w:r w:rsidR="001D5795" w:rsidRPr="00406C4C">
        <w:rPr>
          <w:rFonts w:ascii="Arial" w:hAnsi="Arial" w:cs="Arial"/>
          <w:i/>
          <w:iCs/>
          <w:sz w:val="20"/>
          <w:szCs w:val="20"/>
          <w:lang w:val="en-US"/>
        </w:rPr>
        <w:t>]</w:t>
      </w:r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S’il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n’y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a que domination,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c’est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l’annexion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ou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l’expansion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mais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non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l’occupation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l’exploitation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et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l’administration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qui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sont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,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en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 xml:space="preserve"> droit, la </w:t>
      </w:r>
      <w:proofErr w:type="spellStart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colonisation</w:t>
      </w:r>
      <w:proofErr w:type="spellEnd"/>
      <w:r w:rsidRPr="00406C4C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Pr="00406C4C">
        <w:rPr>
          <w:rFonts w:ascii="Arial" w:hAnsi="Arial" w:cs="Arial"/>
          <w:sz w:val="20"/>
          <w:szCs w:val="20"/>
          <w:lang w:val="en-US"/>
        </w:rPr>
        <w:t xml:space="preserve"> </w:t>
      </w:r>
      <w:r w:rsidRPr="007F4404">
        <w:rPr>
          <w:rFonts w:ascii="Arial" w:hAnsi="Arial" w:cs="Arial"/>
          <w:sz w:val="20"/>
          <w:szCs w:val="20"/>
        </w:rPr>
        <w:t>(FURTADO, 2001 p. 53)</w:t>
      </w:r>
      <w:r w:rsidRPr="007F4404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605BB8AD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C8AFEC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Entende-se, portanto, que quando se pensa no processo de colonização, de acumulação de terras e de produção do espaço no Brasil, não se pode fugir do tema globalização, por se tratar de uma economia dependente (MARINI, 1976, p. 10/11), sendo que essa dependência é sistêmica e fundada em políticas globais que ensejam sobre os territórios a vontade imposta pelo capitalismo central.</w:t>
      </w:r>
    </w:p>
    <w:p w14:paraId="6311B9DD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Dados elementos cruciais para entender as bases </w:t>
      </w:r>
      <w:proofErr w:type="spellStart"/>
      <w:r w:rsidRPr="007F4404">
        <w:rPr>
          <w:rFonts w:ascii="Arial" w:eastAsia="Times New Roman" w:hAnsi="Arial" w:cs="Arial"/>
          <w:sz w:val="24"/>
          <w:szCs w:val="24"/>
          <w:lang w:eastAsia="pt-BR"/>
        </w:rPr>
        <w:t>macro-políticas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da formação do Estado Brasileiro, propõe-se então pensar nos desdobramentos territoriais desse projeto político de globalização. </w:t>
      </w:r>
    </w:p>
    <w:p w14:paraId="3A1437EA" w14:textId="604A46A8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propriedade nos moldes como a conhecemos teve início a partir da implementação do sistema capitalista, quando a burguesia na cidade percebeu que as terras onde se encontravam famílias que trabalhavam na agricultura poderiam produzir matéria prima em grande escala para as fábricas que começavam a despontar, utilizando-se de meios legais ou não para a retirada das pessoas que ali se encontravam seja por meio de arrendamento</w:t>
      </w:r>
      <w:r w:rsidR="00063D9D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ou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de simples vassalagem.</w:t>
      </w:r>
    </w:p>
    <w:p w14:paraId="34B1E3AD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782B42" w14:textId="3D384A5C" w:rsidR="002E459A" w:rsidRPr="007F4404" w:rsidRDefault="002E459A" w:rsidP="00063D9D">
      <w:pPr>
        <w:spacing w:after="0" w:line="24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A chamada acumulação primitiva é apenas o processo histórico que dissocia o trabalhador dos meios de produção. É considerada primitiva porque constitui a pré-história do capital e do modo de produção capitalista. (MARX, 2014, p.</w:t>
      </w:r>
      <w:r w:rsidR="00063D9D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836)</w:t>
      </w:r>
    </w:p>
    <w:p w14:paraId="48203A6C" w14:textId="77777777" w:rsidR="002E459A" w:rsidRPr="007F4404" w:rsidRDefault="002E459A" w:rsidP="002E459A">
      <w:pPr>
        <w:spacing w:after="0" w:line="36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76E2AF6" w14:textId="38EB68BD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Obviamente que este processo não foi homogêneo no mundo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as novas terras descobertas tinham uma função para o crescimento do mercado.</w:t>
      </w:r>
    </w:p>
    <w:p w14:paraId="7872DE27" w14:textId="4DAF8DAC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Destarte, 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>por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exemplo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 expansão portuguesa na Ásia, não obstante existir o contato comercial ou até mesmo a militarização por parte de Portugal na região, faltou “o elemento fundamental da colonização, que é a 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>emigração.”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(FURTADO, 2001, p. 53-54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. As terras dos continentes recém colonizados,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como o Brasil,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tinham a função primordial de produzir em larga escala. E, assim, nascia nosso sistema de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plantation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, o qual era determinado pela Metrópole.</w:t>
      </w:r>
    </w:p>
    <w:p w14:paraId="69C1869C" w14:textId="6E43E115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O sistema de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plantation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>estabelecia e fomentava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as atividades exploratórias no território implementando um processo de detenção de terras caracterizada pela monocultura e latifúndio. Pautava-se, sobretudo, na exploração escravocrata da mão de obra e exploração dos bens naturais do território para o mercado externo. Essa organização territorial e econômica, como descreve José Marcelo Marques Ferreira Filho (2016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>, p. 369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), tem o</w:t>
      </w:r>
    </w:p>
    <w:p w14:paraId="40560608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2484F" w14:textId="77777777" w:rsidR="002E459A" w:rsidRPr="007F4404" w:rsidRDefault="002E459A" w:rsidP="00642CCF">
      <w:pPr>
        <w:spacing w:after="0" w:line="24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[...] significado muito além da mera cultura de produtos para exportação. Ela pode identificar, ao mesmo tempo, tanto um complexo sistema produtivo com ligações internacionais e locais, quanto unidades particulares menores: os engenhos. (FERREIRA FILHO, 2016, p. 17)</w:t>
      </w:r>
    </w:p>
    <w:p w14:paraId="070CCBA8" w14:textId="77777777" w:rsidR="002E459A" w:rsidRPr="007F4404" w:rsidRDefault="002E459A" w:rsidP="002E459A">
      <w:pPr>
        <w:spacing w:after="0" w:line="36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0ED8E0D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Seguindo uma lógica imperialista acumulativa, todos aparatos da terra eram voltados para gerar retorno rentável à coroa portuguesa e somente isso condicionava a permanência desse ordenamento </w:t>
      </w:r>
      <w:proofErr w:type="spellStart"/>
      <w:r w:rsidRPr="007F4404">
        <w:rPr>
          <w:rFonts w:ascii="Arial" w:eastAsia="Times New Roman" w:hAnsi="Arial" w:cs="Arial"/>
          <w:sz w:val="24"/>
          <w:szCs w:val="24"/>
          <w:lang w:eastAsia="pt-BR"/>
        </w:rPr>
        <w:t>agro-social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que vigorou no Brasil, predominantemente, entre os séculos XV e XIX.  </w:t>
      </w:r>
    </w:p>
    <w:p w14:paraId="046F4E09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11636C" w14:textId="77777777" w:rsidR="002E459A" w:rsidRPr="007F4404" w:rsidRDefault="002E459A" w:rsidP="00642CCF">
      <w:pPr>
        <w:spacing w:after="0" w:line="24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[...] situação onde terra, mão de obra e equipamentos são subjugados totalmente enquanto mercadorias, e as relações que governam seu uso são avaliadas totalmente à luz da cont</w:t>
      </w:r>
      <w:r w:rsidR="00812C0A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abilidade ‘racional’ de custos”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“[...] força de trabalho grande o bastante para realizar a produção em volume considerável, a taxas suficientemente baixas para garantir retornos do capital investido.  (MINTZ, Sidney W &amp; WOLF, Eric. 2010. p. 198 - 203)</w:t>
      </w:r>
    </w:p>
    <w:p w14:paraId="5F1FE9E5" w14:textId="77777777" w:rsidR="002E459A" w:rsidRPr="007F4404" w:rsidRDefault="002E459A" w:rsidP="002E459A">
      <w:pPr>
        <w:spacing w:after="0" w:line="36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65CD0DA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O segundo momento importante para caracterizar o processo de evolução das políticas fundiárias foi em 1850 com a Lei de Terras, produzindo uma mudança no marco da posse e propriedade do território. O texto da Lei nº 601, de 18 de setembro de 1850 se coloca da seguinte forma: </w:t>
      </w:r>
    </w:p>
    <w:p w14:paraId="11C53329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4857F4" w14:textId="77777777" w:rsidR="002E459A" w:rsidRPr="007F4404" w:rsidRDefault="002E459A" w:rsidP="0035229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Dispõe sobre as terras devolutas no Império, e acerca das que são possuídas por titulo de sesmaria sem preenchimento das condições legais. bem como por simples titulo de posse mansa e pacifica; e determina que, medidas e demarcadas as primeiras, sejam elas cedidas a titulo oneroso, assim para empresas particulares, como para o estabelecimento de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colonias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de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nacionaes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e de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extrangeiros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, autorizado o Governo a promover a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colonisação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extrangeira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na forma que se declara.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(BRASIL(a), 1850)</w:t>
      </w:r>
    </w:p>
    <w:p w14:paraId="5362FDFC" w14:textId="77777777" w:rsidR="002E459A" w:rsidRPr="007F4404" w:rsidRDefault="002E459A" w:rsidP="002E459A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7B69E4A" w14:textId="5FBA17DE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A Lei de Terras era essencialmente baseada na titulação de propriedade como legitimação necessária para o uso do território, sendo que os donos, pela estruturação política da época, eram os próprios </w:t>
      </w:r>
      <w:r w:rsidR="00642CCF" w:rsidRPr="007F4404">
        <w:rPr>
          <w:rFonts w:ascii="Arial" w:eastAsia="Times New Roman" w:hAnsi="Arial" w:cs="Arial"/>
          <w:sz w:val="24"/>
          <w:szCs w:val="24"/>
          <w:lang w:eastAsia="pt-BR"/>
        </w:rPr>
        <w:t>donatários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. Também estabelecia o fim da possibilidade de apropriação: </w:t>
      </w:r>
    </w:p>
    <w:p w14:paraId="53E34C61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F61ABA" w14:textId="77777777" w:rsidR="002E459A" w:rsidRPr="007F4404" w:rsidRDefault="002E459A" w:rsidP="00642CC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[...] nenhuma terra poderia mais ser apropriada através do trabalho, mas apenas por compra do estado. As terras já ocupadas seriam medidas e submetidas a condições de utilização ou, novamente, estariam na mão do estado, que as venderia para quem definisse (LOPES, 2014). (CORRÊA, 2018, p. 61)</w:t>
      </w:r>
    </w:p>
    <w:p w14:paraId="696C2437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6393B" w14:textId="2DCC5B31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Essa lei, acabou por favorecer a base do sistema latifundiário brasileiro ao longo dos anos, ao perpetuar desigualdades como a exploração escravocrata que, à época, precisavam ser reconfiguradas para o emergente sistema capitalista pós revolução industrial. Salienta-se que essa legislação marcou, de fato, mercantilização da terra através do conceito de propriedade</w:t>
      </w:r>
      <w:r w:rsidR="00D667A0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no país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. </w:t>
      </w:r>
    </w:p>
    <w:p w14:paraId="0DBE71D1" w14:textId="77777777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5E210942" w14:textId="77777777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Neoliberalismo, globalização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 interferências no território</w:t>
      </w:r>
    </w:p>
    <w:p w14:paraId="346D1ADE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C9415" w14:textId="77777777" w:rsidR="0036758B" w:rsidRPr="007F4404" w:rsidRDefault="002E459A" w:rsidP="004D75C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O capitalismo e suas várias crises cíclicas implementou planos e políticas pelas quais os Estados centrais iriam determinar como os países periféricos de capitalismo</w:t>
      </w:r>
      <w:r w:rsidR="0036758B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dependente iriam se comportar. </w:t>
      </w:r>
    </w:p>
    <w:p w14:paraId="6FB9D6DF" w14:textId="69A5B128" w:rsidR="002E459A" w:rsidRPr="007F4404" w:rsidRDefault="004D75C9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É sabido q</w:t>
      </w:r>
      <w:r w:rsidR="00D870DD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ue,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a conjuntura global ocidental</w:t>
      </w:r>
      <w:r w:rsidR="00D870DD" w:rsidRPr="007F44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870DD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pós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década de 1970</w:t>
      </w:r>
      <w:r w:rsidR="00D870DD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permitiu a gestação de uma nova proposição político-econômica denominada ‘neoliberalismo’</w:t>
      </w:r>
      <w:r w:rsidR="00D667A0" w:rsidRPr="007F4404">
        <w:rPr>
          <w:rFonts w:ascii="Arial" w:eastAsia="Times New Roman" w:hAnsi="Arial" w:cs="Arial"/>
          <w:sz w:val="24"/>
          <w:szCs w:val="24"/>
          <w:lang w:eastAsia="pt-BR"/>
        </w:rPr>
        <w:t>, cuja compreensão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dialoga com David Harvey (2005), que conceitua o neoliberalismo como:</w:t>
      </w:r>
    </w:p>
    <w:p w14:paraId="477522C5" w14:textId="77777777" w:rsidR="002E459A" w:rsidRPr="007F4404" w:rsidRDefault="002E459A" w:rsidP="00D66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C3BFD9" w14:textId="77777777" w:rsidR="002E459A" w:rsidRPr="007F4404" w:rsidRDefault="002E459A" w:rsidP="00D667A0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[...] teoria das práticas político-econômicas que propõe que o bem-estar humano pode ser melhor promovido liberando-se as liberdades e capacidades empreendedoras individuais no âmbito de uma estrutura institucional caracterizada por sólidos direitos a propriedade privada, livres me</w:t>
      </w:r>
      <w:r w:rsidR="00812C0A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rcados e livre comércio. [...]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Deve-se, também, estabelecer as estruturas e funções militares, de defesa, da polícia e legais requeridas para garantir direitos de propriedade individuais e para assegurar, se necessário pela força, o funcionamento apropriado dos mercados. (HARVEY, 2005. p. 6)</w:t>
      </w:r>
    </w:p>
    <w:p w14:paraId="37A3D155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A27A21" w14:textId="641F1FD2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O primeiro experimento deste modelo se deu no Chile em 1975, com a ditadura de Pinochet, construído a partir do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know-how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adquirido por economistas pautados pelo programa de controle dos EUA,</w:t>
      </w:r>
      <w:r w:rsidR="00D870DD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na Universidade de Chicago, </w:t>
      </w:r>
      <w:r w:rsidR="002F6BFA" w:rsidRPr="007F4404">
        <w:rPr>
          <w:rFonts w:ascii="Arial" w:eastAsia="Times New Roman" w:hAnsi="Arial" w:cs="Arial"/>
          <w:sz w:val="24"/>
          <w:szCs w:val="24"/>
          <w:lang w:eastAsia="pt-BR"/>
        </w:rPr>
        <w:t>que objetivava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barrar a </w:t>
      </w:r>
      <w:r w:rsidR="00D667A0" w:rsidRPr="007F4404">
        <w:rPr>
          <w:rFonts w:ascii="Arial" w:eastAsia="Times New Roman" w:hAnsi="Arial" w:cs="Arial"/>
          <w:sz w:val="24"/>
          <w:szCs w:val="24"/>
          <w:lang w:eastAsia="pt-BR"/>
        </w:rPr>
        <w:t>‘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expansão comunista</w:t>
      </w:r>
      <w:r w:rsidR="00D667A0" w:rsidRPr="007F4404">
        <w:rPr>
          <w:rFonts w:ascii="Arial" w:eastAsia="Times New Roman" w:hAnsi="Arial" w:cs="Arial"/>
          <w:sz w:val="24"/>
          <w:szCs w:val="24"/>
          <w:lang w:eastAsia="pt-BR"/>
        </w:rPr>
        <w:t>’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na América do Sul (HARVEY, 2008). Vê-se que a utilização de territórios periféricos para desenvolvimento da ordem global é uma prática quase que ontológica do sistema. </w:t>
      </w:r>
    </w:p>
    <w:p w14:paraId="4E340C12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Diante da crise da década de 1970, com o aumento do dólar e a queda do preço do petróleo, países subdesenvolvidos foram levados à bancarrota, haja vista o alto endividamento público em dólar, somados a outros problemas estruturais. </w:t>
      </w:r>
    </w:p>
    <w:p w14:paraId="3DBFDE57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Com as mudanças e crises acumuladas durante as décadas de 1970 e 1980, em 1989 o chamado ‘Consenso de Washington’ foi estabelecido no alto escalão do norte global, baseando-se em artigo escrito pelo economista John Williamson que congrega medidas consideradas, por instituições sediadas na capital dos EUA (FMI, Banco Mundial, Departamento do Tesouros dos EUA), consensualmente necessárias para a recuperação das economias em desenvolvimento. Foi essa a base, reconhecidamente neoliberal, das relações político-econômicas globais a partir da década de 1990, época em que</w:t>
      </w:r>
    </w:p>
    <w:p w14:paraId="04C1743E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9530B0" w14:textId="77777777" w:rsidR="002E459A" w:rsidRPr="007F4404" w:rsidRDefault="002E459A" w:rsidP="003C33C3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[...] o impulso geral era na direção da padronização de arranjos comerciais mediante acordos internacionais que culminaram nos firmados na Organização Mundial do Comércio, que passaram a vigorar em 1995 (mais de cem países tinham assinado esses acordos no curso de um ano). Essa maior abertura ao fluxo de capital (principalmente norte-americano, europeu e japonês) pressionou todos os países a examinar a qualidade de seu clima de negócios como condição crucial para o sucesso competitivo. Como o grau de neoliberalização estava sendo cada vez mais considerado pelo FMI e 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pelo Banco Mundial uma medida de bom clima de negócios, houve um incrível aumento da pressão sobre todos os Estados para que adotassem reformas neoliberais. (HARVEY, 2008, p. 100)</w:t>
      </w:r>
    </w:p>
    <w:p w14:paraId="52799253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EF5172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Com alianças alicerçadas pelos acordos bilaterais das instituições globais junto aos EUA para imposições de reformas 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>neoliberais no resto do mundo, 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pode-se dizer que a década de 1990 caracteriza-se por uma dependência global das vontades políticas Estadunidenses, pois segundo David Harvey (2008),</w:t>
      </w:r>
    </w:p>
    <w:p w14:paraId="24144D58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E7F506" w14:textId="24A5D5EF" w:rsidR="002E459A" w:rsidRPr="007F4404" w:rsidRDefault="002E459A" w:rsidP="003C33C3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[...] o real segredo do sucesso americano foi o fato de o país poder então extrair altas taxas de retorno de suas operações financeiras e corporativas (investimentos diretos e indiretos) no resto do mundo. Foi esse fluxo de tributos extraído do resto do mundo que sustentou boa parte da afluência alcançada nos Estados Unidos durante a década de 1990 </w:t>
      </w:r>
      <w:r w:rsidR="00352293" w:rsidRPr="007F4404">
        <w:rPr>
          <w:rFonts w:ascii="Arial" w:eastAsia="Times New Roman" w:hAnsi="Arial" w:cs="Arial"/>
          <w:sz w:val="20"/>
          <w:szCs w:val="20"/>
          <w:lang w:eastAsia="pt-BR"/>
        </w:rPr>
        <w:t>[...]</w:t>
      </w:r>
      <w:r w:rsidRPr="007F4404">
        <w:rPr>
          <w:rFonts w:ascii="Arial" w:eastAsia="Times New Roman" w:hAnsi="Arial" w:cs="Arial"/>
          <w:sz w:val="20"/>
          <w:szCs w:val="20"/>
          <w:lang w:eastAsia="pt-BR"/>
        </w:rPr>
        <w:t>. (HARVEY, 2008, p.101)</w:t>
      </w:r>
    </w:p>
    <w:p w14:paraId="12AFA8AC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E67884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Aqui no Brasil, a efetivação do Consenso de Washington começou a partir do governo do Presidente Fernando Collor de Mello  em 1990</w:t>
      </w:r>
      <w:r w:rsidRPr="007F4404">
        <w:rPr>
          <w:rStyle w:val="FootnoteReference"/>
          <w:rFonts w:ascii="Arial" w:eastAsia="Times New Roman" w:hAnsi="Arial" w:cs="Arial"/>
          <w:sz w:val="24"/>
          <w:szCs w:val="24"/>
          <w:lang w:eastAsia="pt-BR"/>
        </w:rPr>
        <w:footnoteReference w:id="2"/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, com o seu primeiro programa de desestatização, mas foi no governo do presidente Fernando Henrique Cardoso que o Consenso de Washington, na forma de intensas privatizações foi implementado de maneira mais radical. As reformas do Estado (tributária, administrativa e previdenciária) e de ordem econômica (quebra dos monopólios estatais, tratamento isonômico entre empresa nacional e estrangeira e desregulamentação das atividades e mercados), juntamente com as privatizações, se constituíram em peças-chave do sucesso do Plano Real (FILGUEIRAS, 2006, p.111).</w:t>
      </w:r>
    </w:p>
    <w:p w14:paraId="5FAA5C55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Para a análise deste trabalho, aprofundando a pesquisa sobre as relações entre a globalização e a exploração da terra no Brasil, o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Banco Internacional para Reconstrução e D</w:t>
      </w:r>
      <w:r w:rsidR="002F6BF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esenvolvimento (BIRD) é uma das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organizações internacionais do Banco Mundial que interferiu diretamente nas políticas fundiárias do país na década de 1990 e início dos anos 2000.</w:t>
      </w:r>
    </w:p>
    <w:p w14:paraId="25A516CD" w14:textId="74D3192F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As duas principais iniciativas do BIRD para a implemen</w:t>
      </w:r>
      <w:r w:rsidR="002F6BF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tação das agendas fundiárias</w:t>
      </w:r>
      <w:r w:rsidR="00812C0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alinhadas com as outras instituições globais desde 1989, foram “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de um lado, a constituição de um arranjo institucional de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administração de terras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; de outro, a implementação de um </w:t>
      </w:r>
      <w:r w:rsidRPr="007F4404">
        <w:rPr>
          <w:rFonts w:ascii="Arial" w:eastAsia="Times New Roman" w:hAnsi="Arial" w:cs="Arial"/>
          <w:i/>
          <w:sz w:val="24"/>
          <w:szCs w:val="24"/>
          <w:lang w:eastAsia="pt-BR"/>
        </w:rPr>
        <w:t>modelo de acesso à terra alternativo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à reforma 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>agrária.”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(PEREIRA, 2006, p.</w:t>
      </w:r>
      <w:r w:rsidR="002D3051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21). </w:t>
      </w:r>
    </w:p>
    <w:p w14:paraId="49687BDB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primeira buscava traduzir a agenda mais ampla de “reforma do estado” para o âmbito da gestão fundiária consistindo em necessárias investidas diretas nos arranjos políticos da estrutura do país, </w:t>
      </w:r>
    </w:p>
    <w:p w14:paraId="4864620A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1FF89" w14:textId="02A6730F" w:rsidR="002E459A" w:rsidRPr="007F4404" w:rsidRDefault="002E459A" w:rsidP="003C33C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[...] a administração de terras consiste na municipalização dos instrumentos de política agrária e na criação de toda sorte de mecanismos de gestão “público-privados” locais. Na prática, isto exige mudanças simultâneas nos âmbitos político-administrativo, jurídico e tributário (Banco, 2004 e 2003). (PEREIRA, 2006. p.</w:t>
      </w:r>
      <w:r w:rsidR="003C33C3"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21)</w:t>
      </w:r>
    </w:p>
    <w:p w14:paraId="238505CF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3CA446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segunda iniciativa tinha como referência o Modelo de Reforma Agrária de Mercado (MRAM), que era </w:t>
      </w:r>
    </w:p>
    <w:p w14:paraId="4E76F59C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935E4" w14:textId="2AF1AA15" w:rsidR="002E459A" w:rsidRPr="007F4404" w:rsidRDefault="002E459A" w:rsidP="003C33C3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[...] </w:t>
      </w: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em essência, nada mais é do que uma mera relação de compra e venda de terras entre agentes privados financiada pelo Estado, que fornece um subsídio variável para investimentos em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infra-estrutura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</w:t>
      </w:r>
      <w:proofErr w:type="spellStart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socioprodutiva</w:t>
      </w:r>
      <w:proofErr w:type="spellEnd"/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e contratação de serviços privados de assistência técnica. (PEREIRA, 2006, p.</w:t>
      </w:r>
      <w:r w:rsidR="003C33C3"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24)</w:t>
      </w:r>
    </w:p>
    <w:p w14:paraId="10554BF7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4FF7EE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Segundo Pereira (2006), o MRAM foi elaborado para impor-se em relação à reforma agrária redistributiva proposta pelos movimentos populares, sendo que em 1997 já operava na Colômbia, África do Sul, Guatemala e Brasil. Importante salientar que que os países citados são todos do Sul global, caracterizando-o como território-experimentação para novas formas de exploração a partir da regulamentação proveniente de órgãos internacionais.</w:t>
      </w:r>
    </w:p>
    <w:p w14:paraId="1DE73DF4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080F9" w14:textId="77777777" w:rsidR="002E459A" w:rsidRPr="007F4404" w:rsidRDefault="002E459A" w:rsidP="00535315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>Na região da América Latina e do Caribe, as reformas de “segunda geração” preconizadas pelo BIRD aprofundam o cerne do projeto neoliberal, à medida que potencializam formas de exploração de tipo “neocolonial” e, sobretudo, a ofensiva do capital sobre o trabalho. As ações de “alívio da pobreza” servem para dar funcionalidade a esse processo, amenizando seletivamente as contradições sociais provocadas ou agudizadas por políticas operadas em nível macro. (PEREIRA, 2006, p. 40)</w:t>
      </w:r>
    </w:p>
    <w:p w14:paraId="04A0A74E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3EFC75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Ao que foi descrito das ações do BIRD, acrescenta-se, neste artigo, a ideia de acumulação por espoliação de David Harvey (2005) que ajuda a pensar as práticas político-econômicas globais d</w:t>
      </w:r>
      <w:r w:rsidR="002F6BFA" w:rsidRPr="007F4404">
        <w:rPr>
          <w:rFonts w:ascii="Arial" w:eastAsia="Times New Roman" w:hAnsi="Arial" w:cs="Arial"/>
          <w:sz w:val="24"/>
          <w:szCs w:val="24"/>
          <w:lang w:eastAsia="pt-BR"/>
        </w:rPr>
        <w:t>e incidência nos territórios construídas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 partir dos anos 1980 com o neoliberalismo, trabalhando a ideia de acumulação primitiva de Marx, já citada anteriormente. </w:t>
      </w:r>
    </w:p>
    <w:p w14:paraId="6567D2EB" w14:textId="53AECC30" w:rsidR="002E459A" w:rsidRPr="007F4404" w:rsidRDefault="002F6BF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Harvey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divide a ideia em 4 processos: </w:t>
      </w:r>
      <w:r w:rsidR="002E459A"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privatização e </w:t>
      </w:r>
      <w:proofErr w:type="spellStart"/>
      <w:r w:rsidR="002E459A"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mercadificação</w:t>
      </w:r>
      <w:proofErr w:type="spellEnd"/>
      <w:r w:rsidR="002E459A"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</w:t>
      </w:r>
      <w:proofErr w:type="spellStart"/>
      <w:r w:rsidR="002E459A"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financialização</w:t>
      </w:r>
      <w:proofErr w:type="spellEnd"/>
      <w:r w:rsidR="002E459A"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, administração e manipulação de crises e redistribuições de estado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Por </w:t>
      </w:r>
      <w:r w:rsidR="002E459A"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privatização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denomina-se a </w:t>
      </w:r>
      <w:proofErr w:type="spellStart"/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corporatização</w:t>
      </w:r>
      <w:proofErr w:type="spellEnd"/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proofErr w:type="spellStart"/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mercadificação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e a privatização de ativos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públicos que têm sido uma marca registrada do projeto neoliberal com objetivo primordial de abrir à acumulação do capital novos campos (como saneamento, habitação e instituições públicas) até então considerados fora do alcance do cálculo de lucratividade. (HARVEY, 2008, p.</w:t>
      </w:r>
      <w:r w:rsidR="002D3051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173) </w:t>
      </w:r>
    </w:p>
    <w:p w14:paraId="5B1366F9" w14:textId="680EDA5B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financialização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ou que pode-se chamar de </w:t>
      </w:r>
      <w:r w:rsidR="002D3051" w:rsidRPr="007F4404">
        <w:rPr>
          <w:rFonts w:ascii="Arial" w:eastAsia="Times New Roman" w:hAnsi="Arial" w:cs="Arial"/>
          <w:sz w:val="24"/>
          <w:szCs w:val="24"/>
          <w:lang w:eastAsia="pt-BR"/>
        </w:rPr>
        <w:t>‘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financeirização</w:t>
      </w:r>
      <w:r w:rsidR="002D3051" w:rsidRPr="007F4404">
        <w:rPr>
          <w:rFonts w:ascii="Arial" w:eastAsia="Times New Roman" w:hAnsi="Arial" w:cs="Arial"/>
          <w:sz w:val="24"/>
          <w:szCs w:val="24"/>
          <w:lang w:eastAsia="pt-BR"/>
        </w:rPr>
        <w:t>’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 partir de outros au</w:t>
      </w:r>
      <w:r w:rsidR="002F6BFA" w:rsidRPr="007F4404">
        <w:rPr>
          <w:rFonts w:ascii="Arial" w:eastAsia="Times New Roman" w:hAnsi="Arial" w:cs="Arial"/>
          <w:sz w:val="24"/>
          <w:szCs w:val="24"/>
          <w:lang w:eastAsia="pt-BR"/>
        </w:rPr>
        <w:t>tores, por sua vez deixou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o sistema financeiro ser o centro de atividade redistributiva utilizando da especulação, da fraude e da roubalheira, tudo porque os Estados passaram a não regular a atividade financeira (HARVEY, 2008, p. 174). Essa forma de ação do neoliberalismo cria, dentre outras coisas, manobras fiscais e operações financeiras para facilitar a espoliação de ativos e criar uma situação de escravidão creditícia para os países subdesenvolvidos. </w:t>
      </w:r>
    </w:p>
    <w:p w14:paraId="126243FD" w14:textId="1CDBB2B9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Os outros dois processos são menos explícitos no que tange ao furto direto das terras e outros ativos do sul global, América Latina e, no caso deste trabalho, no Brasil, mas dizem das interferências globais no território. “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 criação, a administração e a manipulação de crises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no cenário mundial evoluíram para uma sofisticada arte de redistribuição deliberada de riqueza de países pobres para países 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>ricos.”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(HARVEY, 2008, p.174). </w:t>
      </w:r>
    </w:p>
    <w:p w14:paraId="5ED6F91B" w14:textId="2211C5E3" w:rsidR="002E459A" w:rsidRPr="007F4404" w:rsidRDefault="002E459A" w:rsidP="002E459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Já as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Redistribuições via Estado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dizem que “o Estado, uma vez </w:t>
      </w:r>
      <w:proofErr w:type="spellStart"/>
      <w:r w:rsidRPr="007F4404">
        <w:rPr>
          <w:rFonts w:ascii="Arial" w:eastAsia="Times New Roman" w:hAnsi="Arial" w:cs="Arial"/>
          <w:sz w:val="24"/>
          <w:szCs w:val="24"/>
          <w:lang w:eastAsia="pt-BR"/>
        </w:rPr>
        <w:t>neoliberalizado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passa a ser o principal agente de políticas redistributivas. Revertendo o fluxo que vai das classes altas para as 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>baixas.”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(HARVEY, 2008, p.</w:t>
      </w:r>
      <w:r w:rsidR="002D3051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176), por meio de emissão de títulos públicos e endividamento.</w:t>
      </w:r>
    </w:p>
    <w:p w14:paraId="781F637C" w14:textId="77777777" w:rsidR="006A05CA" w:rsidRPr="007F4404" w:rsidRDefault="006A05C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Em todos os casos percebe-se a manutenção e intensificação do </w:t>
      </w:r>
      <w:r w:rsidRPr="007F440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modus operandi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colonialista para que o sistema continue a se desenvolver a partir dos interesses das entidades globais</w:t>
      </w:r>
      <w:r w:rsidR="004D75C9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e países ao norte global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5495FC4" w14:textId="74746898" w:rsidR="002E459A" w:rsidRPr="007F4404" w:rsidRDefault="002E459A" w:rsidP="00C436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Com relação ao Brasil em meados dos anos 2000, </w:t>
      </w:r>
      <w:r w:rsidR="00C43687" w:rsidRPr="007F4404">
        <w:rPr>
          <w:rFonts w:ascii="Arial" w:eastAsia="Times New Roman" w:hAnsi="Arial" w:cs="Arial"/>
          <w:sz w:val="24"/>
          <w:szCs w:val="24"/>
          <w:lang w:eastAsia="pt-BR"/>
        </w:rPr>
        <w:t>não obstante o apoio do governo do Presidente Luís Inácio Lula da Silva, no que se refere às confederações sindicais de trabalhadores rurais, a política a ser implementada era a de orientação do MRAM (PEREIRA, 2006, p.39).</w:t>
      </w:r>
      <w:r w:rsidR="00C43687"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AEBAB25" w14:textId="77777777" w:rsidR="001C4304" w:rsidRPr="007F4404" w:rsidRDefault="006A05CA" w:rsidP="001C430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Afere-se</w:t>
      </w:r>
      <w:r w:rsidR="001C4304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com isso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que o Brasil </w:t>
      </w:r>
      <w:r w:rsidR="001C4304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foi englobado nos projetos </w:t>
      </w:r>
      <w:r w:rsidR="004D75C9" w:rsidRPr="007F4404">
        <w:rPr>
          <w:rFonts w:ascii="Arial" w:eastAsia="Times New Roman" w:hAnsi="Arial" w:cs="Arial"/>
          <w:sz w:val="24"/>
          <w:szCs w:val="24"/>
          <w:lang w:eastAsia="pt-BR"/>
        </w:rPr>
        <w:t>neoliberais</w:t>
      </w:r>
      <w:r w:rsidR="001C4304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 partir de </w:t>
      </w:r>
      <w:r w:rsidR="004D75C9" w:rsidRPr="007F4404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condição subserviente, independentemente do governo no poder, </w:t>
      </w:r>
      <w:r w:rsidR="001C4304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a proposta neoliberal se instaurou de forma </w:t>
      </w:r>
      <w:r w:rsidR="002E459A" w:rsidRPr="007F4404">
        <w:rPr>
          <w:rFonts w:ascii="Arial" w:eastAsia="Times New Roman" w:hAnsi="Arial" w:cs="Arial"/>
          <w:sz w:val="24"/>
          <w:szCs w:val="24"/>
          <w:lang w:eastAsia="pt-BR"/>
        </w:rPr>
        <w:t>parasitária na estrutura do Estado Brasileiro.</w:t>
      </w:r>
    </w:p>
    <w:p w14:paraId="7E1190D4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2EE0A35" w14:textId="1BE11C2A" w:rsidR="002E459A" w:rsidRPr="007F4404" w:rsidRDefault="002E459A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3 Apanhado histórico e contextualização do projeto político atual a partir das leis atuais sobre terra</w:t>
      </w:r>
    </w:p>
    <w:p w14:paraId="010A4A08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6BFEC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Repisa-se que a história da aquisição de terras no Brasil está calcada na colonização e na situação de país de capitalismo dependente. A distribuição de terras no país começa com a criação das capitanias hereditárias, as quais eram doadas para os nobres portugueses que deveriam investir no território (início da colonização).</w:t>
      </w:r>
    </w:p>
    <w:p w14:paraId="1DBD6EE3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53BCFD" w14:textId="77777777" w:rsidR="002E459A" w:rsidRPr="007F4404" w:rsidRDefault="002E459A" w:rsidP="002D3051">
      <w:pPr>
        <w:spacing w:after="0" w:line="240" w:lineRule="auto"/>
        <w:ind w:left="2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lang w:eastAsia="pt-BR"/>
        </w:rPr>
        <w:t xml:space="preserve">Observou-se que não havia nas sesmarias hereditárias as características do regime feudal. Mas o regime latifundiário das sesmarias, partindo dos </w:t>
      </w:r>
      <w:proofErr w:type="spellStart"/>
      <w:r w:rsidRPr="007F4404">
        <w:rPr>
          <w:rFonts w:ascii="Arial" w:eastAsia="Times New Roman" w:hAnsi="Arial" w:cs="Arial"/>
          <w:sz w:val="20"/>
          <w:szCs w:val="20"/>
          <w:lang w:eastAsia="pt-BR"/>
        </w:rPr>
        <w:t>donatarios</w:t>
      </w:r>
      <w:proofErr w:type="spellEnd"/>
      <w:r w:rsidRPr="007F4404">
        <w:rPr>
          <w:rFonts w:ascii="Arial" w:eastAsia="Times New Roman" w:hAnsi="Arial" w:cs="Arial"/>
          <w:sz w:val="20"/>
          <w:szCs w:val="20"/>
          <w:lang w:eastAsia="pt-BR"/>
        </w:rPr>
        <w:t>, governo geral e Coroa, por seus administradores e capitães e generais, vigorou de 1504 até 17 de julho de 1822, tendo em vista um requerimento de um posseiro mineiro, Manoel José dos reis, da comarca do Rio das Mortes, que pediu a extinção, conseguida por José Bonifácio. (SIQUEIRA, 1984, p. 14)</w:t>
      </w:r>
    </w:p>
    <w:p w14:paraId="3285ED3F" w14:textId="77777777" w:rsidR="002E459A" w:rsidRPr="007F4404" w:rsidRDefault="002E459A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934503" w14:textId="073454AA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Não obstante as Constituições e o Código Civil de 1916, tratarem sobre a propriedade privada, permitindo a propriedade irrestrita das terras, independentemente da função social que elas (terras) pudessem ter, somente com a Lei n. 4</w:t>
      </w:r>
      <w:r w:rsidR="001D5795" w:rsidRPr="007F440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504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1964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(Estatuto da Terra)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que o país passou a ter outro trato sobre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terras rurais, cujo artigo 1º já estabelecia a sua finalidade, qual seja, regular direitos e obrigações concernentes aos bens imóveis rurais, para fins de execução da Reforma Agrária e promoção da Política Agrícola do país (BRASIL(b), [2007]).</w:t>
      </w:r>
    </w:p>
    <w:p w14:paraId="3BCB70F6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A Lei de Terras foi promulgada no Regime Militar, mas já havia sido discu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>tida no governo de João Goulart. 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eu texto foi construído a partir da Carta de </w:t>
      </w:r>
      <w:proofErr w:type="spellStart"/>
      <w:r w:rsidRPr="007F4404">
        <w:rPr>
          <w:rFonts w:ascii="Arial" w:eastAsia="Times New Roman" w:hAnsi="Arial" w:cs="Arial"/>
          <w:sz w:val="24"/>
          <w:szCs w:val="24"/>
          <w:lang w:eastAsia="pt-BR"/>
        </w:rPr>
        <w:t>Punta</w:t>
      </w:r>
      <w:proofErr w:type="spellEnd"/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Del Este, na qual países da América Latina e Estados Unidos reconheciam “explicitamente o imperativo de profundas transformações sociais” (ALIANÇA PARA O PROGRESSO) dentre essas mudanças a necessidade de reforma agrária.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O que se verifica, mesmo com a nova legislação, é que o sistema de latifúndio permaneceu 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país, ou seja,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ainda sob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o sistema de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plantation</w:t>
      </w:r>
      <w:r w:rsidR="007C1558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com outro nome, a dependência </w:t>
      </w:r>
      <w:r w:rsidR="00190E0D" w:rsidRPr="007F4404">
        <w:rPr>
          <w:rFonts w:ascii="Arial" w:eastAsia="Times New Roman" w:hAnsi="Arial" w:cs="Arial"/>
          <w:sz w:val="24"/>
          <w:szCs w:val="24"/>
          <w:lang w:eastAsia="pt-BR"/>
        </w:rPr>
        <w:t>se de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clara com essas demonstrações.</w:t>
      </w:r>
    </w:p>
    <w:p w14:paraId="06B9644A" w14:textId="3D7543C2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Prevista no Brasil a partir da Constituição de 1967, somente a partir da Constituição de 1988, o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status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de função social da propriedade e seus requisitos restaram descritos no texto constitucional, ou seja, a observância de suas premissas para o Estado brasileiro ultrapassa a vontade do legislador ordinário para ser obedecida como premissa constitucional, conforme dispõe o artigo 186, da CRFB (BRASIL(</w:t>
      </w:r>
      <w:r w:rsidR="00C43687" w:rsidRPr="007F440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), [2020]).</w:t>
      </w:r>
    </w:p>
    <w:p w14:paraId="114912F9" w14:textId="660FCA88" w:rsidR="00C13C82" w:rsidRPr="007F4404" w:rsidRDefault="002E459A" w:rsidP="002E459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Contudo, em uma lógica de capitalismo dependente, não foi a inclusão dos requisitos do que seria função social da propriedade que alteraria a forma com que o capitalismo central impõe à nossa sociedade o trata</w:t>
      </w:r>
      <w:r w:rsidR="008C0161" w:rsidRPr="007F4404">
        <w:rPr>
          <w:rFonts w:ascii="Arial" w:eastAsia="Times New Roman" w:hAnsi="Arial" w:cs="Arial"/>
          <w:sz w:val="24"/>
          <w:szCs w:val="24"/>
          <w:lang w:eastAsia="pt-BR"/>
        </w:rPr>
        <w:t>mento sobre a terra.</w:t>
      </w:r>
      <w:r w:rsidR="00513BDE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Mesmo com avanços com a Lei nº 10.257/2001 (Estatuto da Cidade) e a Lei 11.977/2009 (Programa Minha Casa Minha Vida), o cerne colonial da política fundiária brasileira permanece. </w:t>
      </w:r>
    </w:p>
    <w:p w14:paraId="3B6994C0" w14:textId="53189D6E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A situação se agrava a partir do Golpe jurídico-midiático de 2016 (</w:t>
      </w:r>
      <w:r w:rsidR="004B4E56" w:rsidRPr="007F4404">
        <w:rPr>
          <w:rFonts w:ascii="Arial" w:eastAsia="Times New Roman" w:hAnsi="Arial" w:cs="Arial"/>
          <w:sz w:val="24"/>
          <w:szCs w:val="24"/>
          <w:lang w:eastAsia="pt-BR"/>
        </w:rPr>
        <w:t>CORRÊA,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4B4E56" w:rsidRPr="007F4404">
        <w:rPr>
          <w:rFonts w:ascii="Arial" w:eastAsia="Times New Roman" w:hAnsi="Arial" w:cs="Arial"/>
          <w:sz w:val="24"/>
          <w:szCs w:val="24"/>
          <w:lang w:eastAsia="pt-BR"/>
        </w:rPr>
        <w:t>8, p. 12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) e dos novos projetos políticos apresentados nos governos subsequentes</w:t>
      </w:r>
      <w:r w:rsidR="00812C0A" w:rsidRPr="007F4404">
        <w:rPr>
          <w:rStyle w:val="FootnoteReference"/>
          <w:rFonts w:ascii="Arial" w:eastAsia="Times New Roman" w:hAnsi="Arial" w:cs="Arial"/>
          <w:sz w:val="24"/>
          <w:szCs w:val="24"/>
          <w:lang w:eastAsia="pt-BR"/>
        </w:rPr>
        <w:footnoteReference w:id="3"/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consolidaram-se novas narrativas para políticas públicas brasileiras aprofundando o neoliberalismo e as relações impostas pela globalização e colonialismo, com raízes já descritas anteriormente. </w:t>
      </w:r>
    </w:p>
    <w:p w14:paraId="5C7C6FBA" w14:textId="77777777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Nesse sentido, continuando com a análise da histórica e intrínseca relação entre terra e relações políticas, esse trabalho apresenta a seguir as principais medidas legais que estão costurando interesses políticos da conjuntura atual brasileira com a questão fundiária, no intuito denunciá-las e mapeá-las par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>a auxiliar estudos posteriores 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que visem se aprofundar em seus conteúdos e futuros desdobramentos. </w:t>
      </w:r>
    </w:p>
    <w:p w14:paraId="2CD71494" w14:textId="20BC16A3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Começando com o marco da regularização fundiária em 2017, Lei 13.465/2017</w:t>
      </w:r>
      <w:r w:rsidR="009D3A1A" w:rsidRPr="007F4404">
        <w:rPr>
          <w:rFonts w:ascii="Arial" w:eastAsia="Times New Roman" w:hAnsi="Arial" w:cs="Arial"/>
          <w:sz w:val="24"/>
          <w:szCs w:val="24"/>
          <w:lang w:eastAsia="pt-BR"/>
        </w:rPr>
        <w:t>(BRASIL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9D3A1A" w:rsidRPr="007F440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9D3A1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2017)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o que houve foi a reformulação de princípios e </w:t>
      </w:r>
      <w:r w:rsidRPr="007F440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modus operandi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do que se entende por regularização fundiária. No tocante às terras urbanas, por exemplo, foram modificadas as Leis n. 11.977/2009 (todo o capítulo III) e n. 10.257/2001, retirando da pauta conceitos constitucionais como “função social da propriedade”. Além disso, coloca a titulação, posse e propriedade como objetivos principais da regularização fundiária sem</w:t>
      </w:r>
      <w:r w:rsidR="00812C0A"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 especificar populações chave, 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retomando uma estruturação similar à Lei de Terras de 1850, já citada aqui, ou seja, resgatando princípios de uma lei escravagista (CORRÊA, 2018).</w:t>
      </w:r>
    </w:p>
    <w:p w14:paraId="523D3BB8" w14:textId="77777777" w:rsidR="002E459A" w:rsidRPr="007F4404" w:rsidRDefault="002E459A" w:rsidP="002E05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Outro ponto importante para ser frisado diante desses objetivos é o fato de possibilitarem, dentro da lógica neoliberal radicalizada no Brasil pós-2016, a incorporação de territórios informais ao mercado imobiliário e ao capital financeiro</w:t>
      </w:r>
      <w:r w:rsidR="002E058E" w:rsidRPr="007F4404">
        <w:rPr>
          <w:rFonts w:ascii="Arial" w:eastAsia="Times New Roman" w:hAnsi="Arial" w:cs="Arial"/>
          <w:sz w:val="24"/>
          <w:szCs w:val="24"/>
          <w:lang w:eastAsia="pt-BR"/>
        </w:rPr>
        <w:t>, já que esses territórios, com suas organizações sócio-políticas próprias, não têm validade para investimentos (SOTO apud. ROLNIK, 2015, p.195).</w:t>
      </w:r>
    </w:p>
    <w:p w14:paraId="1228E667" w14:textId="2A9A0B54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partir do embasamento e a ideologia do marco de regularização fundiária do Golpe, apresenta-se o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Projeto de Lei (PL) n. 2</w:t>
      </w:r>
      <w:r w:rsidR="009D3A1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963/2019, o Projeto de Lei do Senado (PLS) n. 107/2011 e a Proposta de Emenda Constitucional (PEC) n. 80/2019.</w:t>
      </w:r>
    </w:p>
    <w:p w14:paraId="461BA7C1" w14:textId="38B61EE6" w:rsidR="002E459A" w:rsidRPr="007F4404" w:rsidRDefault="002E459A" w:rsidP="002E45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PL n. 2</w:t>
      </w:r>
      <w:r w:rsidR="009D3A1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963/2019 cuja ementa dispõe que “Regulamenta a aquisição, posse e o cadastro de propriedade rural por pessoa física ou jurídica estrangeira” (BRASIL (</w:t>
      </w:r>
      <w:r w:rsidR="00175E34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), 2019). </w:t>
      </w:r>
    </w:p>
    <w:p w14:paraId="2DFF62A4" w14:textId="77777777" w:rsidR="002E459A" w:rsidRPr="007F4404" w:rsidRDefault="002E459A" w:rsidP="002E459A">
      <w:pPr>
        <w:shd w:val="clear" w:color="auto" w:fill="FFFFFF"/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9780B04" w14:textId="77777777" w:rsidR="002E459A" w:rsidRPr="007F4404" w:rsidRDefault="002E459A" w:rsidP="001D5795">
      <w:p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Uma de suas principais mudanças é a dispensa de qualquer autorização ou licença à aquisição e qualquer modalidade de posse por estrangeiros quando se tratar de imóveis com áreas não superiores a quinze módulos fiscais. A esse respeito, vale ressaltar que dados do Censo Agropecuário de 2017 indicam que 96,6% das propriedades rurais brasileiras em uso agropecuário têm até 15 módulos fiscais. Com relação à extensão territorial nos municípios, a legislação atual restringe a compra de terras por estrangeiros ao limite de ¼ da área do município ou de 40% do território municipal por estrangeiros de mesma nacionalidade. O PL em questão propõe ampliar tais limites caso o comprador seja cônjuge de brasileiro/a com separação total de bens. Terras em condição irregular serão regularizadas, ou seja, aquisições realizadas antes da mudança da lei, os chamados contratos de gaveta, serão regula</w:t>
      </w:r>
      <w:r w:rsidR="00812C0A"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rizadas. (DULCI e TUBINO, 2019)</w:t>
      </w:r>
    </w:p>
    <w:p w14:paraId="4D4B5F56" w14:textId="77777777" w:rsidR="002E459A" w:rsidRPr="007F4404" w:rsidRDefault="002E459A" w:rsidP="002E459A">
      <w:pPr>
        <w:shd w:val="clear" w:color="auto" w:fill="FFFFFF"/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9539A3" w14:textId="701B07BD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Em um segundo momento, tem-se o PLS n. 107/2011</w:t>
      </w:r>
      <w:r w:rsidR="00C47243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desenterrado diante </w:t>
      </w:r>
      <w:r w:rsidR="00C47243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do momento político. O PLS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“Altera a Lei nº 8.629, de 25 de fevereiro de 1993, para dispor sobre a fixação e o ajuste dos parâmetros, índices e indicadores de produtividade” (BRASIL(</w:t>
      </w:r>
      <w:r w:rsidR="00175E34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g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), 201</w:t>
      </w:r>
      <w:r w:rsidR="00BA4EFB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1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). Essa</w:t>
      </w:r>
      <w:r w:rsidR="00812C0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modificações disputam o índice de produtividade das áreas rurais, indo na contramão da democratização da terra, interferindo nos dados no intuito de </w:t>
      </w:r>
    </w:p>
    <w:p w14:paraId="7AD1026B" w14:textId="77777777" w:rsidR="002E459A" w:rsidRPr="007F4404" w:rsidRDefault="002E459A" w:rsidP="002E459A">
      <w:pPr>
        <w:shd w:val="clear" w:color="auto" w:fill="FFFFFF"/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F56CBC4" w14:textId="77777777" w:rsidR="002E459A" w:rsidRPr="007F4404" w:rsidRDefault="002E459A" w:rsidP="00BA4EFB">
      <w:p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[...] decompor o índice atual, que, argumenta-se, privilegia a maior área plantada e não leva em consideração a produtividade alcançada pelo uso de insumos e pela aplicação de tecnologia. Por conta disso, diz a justificativa do PLS, “propriedades produtivas, insuscetíveis de desapropriação, estão sendo equivocadamente desapropriadas”. (DULCI e TUBINO, 2019)</w:t>
      </w:r>
    </w:p>
    <w:p w14:paraId="7FD3F2A5" w14:textId="77777777" w:rsidR="002E459A" w:rsidRPr="007F4404" w:rsidRDefault="002E459A" w:rsidP="002E459A">
      <w:pPr>
        <w:shd w:val="clear" w:color="auto" w:fill="FFFFFF"/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35E896E" w14:textId="44689C4F" w:rsidR="002E459A" w:rsidRPr="007F4404" w:rsidRDefault="004B4E56" w:rsidP="004B4E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Em dezembro de 2019, o governo federal através da Medida Provisória n. 910, que ficou c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onhecida também como a “MP da grilagem”</w:t>
      </w:r>
      <w:r w:rsidR="00C47243" w:rsidRPr="007F4404">
        <w:rPr>
          <w:rStyle w:val="FootnoteReference"/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footnoteReference w:id="4"/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teve com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pretexto </w:t>
      </w:r>
      <w:r w:rsidR="007D49A6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regulariza</w:t>
      </w:r>
      <w:r w:rsidR="007D49A6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ção de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áreas da União que não </w:t>
      </w:r>
      <w:r w:rsidR="007D49A6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estivessem 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tituladas</w:t>
      </w:r>
      <w:r w:rsidR="00BA4EFB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(BRASIL (h), 2019)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7D49A6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lastRenderedPageBreak/>
        <w:t>criando um precedente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para regularizar terras públicas griladas</w:t>
      </w:r>
      <w:r w:rsidR="007D49A6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o referido instrumento perdeu a eficácia por ter sido retirado da pauta de urgência em 12 de maio de 2020</w:t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  <w:r w:rsidR="007D49A6" w:rsidRPr="007F4404">
        <w:rPr>
          <w:rStyle w:val="FootnoteReference"/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footnoteReference w:id="5"/>
      </w:r>
      <w:r w:rsidR="002E459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</w:p>
    <w:p w14:paraId="6CCB267D" w14:textId="0FF51688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última cartada do Governo a ser apresentada por esse trabalho é a PEC 80</w:t>
      </w:r>
      <w:r w:rsidR="00544BAD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/2019. Sublinha-se a relevância simbólica,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por ser um instrumento que altera diretamente a Constituição Federal, enunciando não apenas a intenção de um projeto de </w:t>
      </w:r>
      <w:r w:rsidR="00812C0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Governo,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mas sim de Estado, na direção de construir políticas estruturantes, agindo em busca de garantir </w:t>
      </w:r>
      <w:r w:rsidR="00544BAD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políticas neoliberais de governo e um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Estado Neoliberal</w:t>
      </w:r>
      <w:r w:rsidR="00544BAD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. A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PEC informa as suas razões, qual seja, “Altera os artigos 182 e 186 da Constituição Federal para dispor sobre a função social da propriedade urbana e rural.” (BRASIL(</w:t>
      </w:r>
      <w:r w:rsidR="00BA4EFB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), 2019)</w:t>
      </w:r>
    </w:p>
    <w:p w14:paraId="489067F8" w14:textId="77777777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proposta, dent</w:t>
      </w:r>
      <w:r w:rsidR="00544BAD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re outras questões, simplifica o </w:t>
      </w:r>
      <w:r w:rsidR="00544BAD" w:rsidRPr="007F4404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pt-BR"/>
        </w:rPr>
        <w:t>status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da ‘função social da propriedade’ quando permite que apenas uma das exigências constitucionais (são três para propriedades urbanas, e quatro para rurais) seja atendida para que se cumpra a função social. Isso destitui desse conceito o necessário atendimento </w:t>
      </w:r>
      <w:r w:rsidR="00812C0A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às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complexidades intrínsecas aos valore sociais do território. </w:t>
      </w:r>
    </w:p>
    <w:p w14:paraId="66F177EC" w14:textId="77777777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Outra modificação é outorgar ao poder judiciário a possibilidade de decidir sobre expropriações, podendo disputar essa ordem com o executivo municipal, ferindo a autonomia constitucional dos entes federativos e </w:t>
      </w:r>
      <w:r w:rsidR="00544BAD"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possibilitando o distanciamento </w:t>
      </w: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tal decisão do necessário cumprimento do plano diretor municipal. </w:t>
      </w:r>
    </w:p>
    <w:p w14:paraId="589288FA" w14:textId="77777777" w:rsidR="002E459A" w:rsidRPr="007F4404" w:rsidRDefault="002E459A" w:rsidP="002E4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89DBC69" w14:textId="77777777" w:rsidR="002E459A" w:rsidRPr="007F4404" w:rsidRDefault="002E459A" w:rsidP="002E45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Conclusão</w:t>
      </w:r>
    </w:p>
    <w:p w14:paraId="2651B69A" w14:textId="77777777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7D6FD1A" w14:textId="77777777" w:rsidR="0036758B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Retomando o entendimento do que significa incidir sobre a Constituição a partir do governo Bolsonaro, a intenção é de que o Estado no caso da discussão deste artigo, favoreça uma política fundiária que esteja pautada nos projetos constituintes desse momento político que o Brasil está passando. Interesses consequentes de um Golpe, implementados por uma correlação de forças que permeia a história Brasileira desde os primórdios das invasões Europeias.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DB88909" w14:textId="77777777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Segundo o Índice Gini</w:t>
      </w:r>
      <w:r w:rsidR="00812C0A" w:rsidRPr="007F4404">
        <w:rPr>
          <w:rStyle w:val="FootnoteReference"/>
          <w:rFonts w:ascii="Arial" w:eastAsia="Times New Roman" w:hAnsi="Arial" w:cs="Arial"/>
          <w:sz w:val="24"/>
          <w:szCs w:val="24"/>
          <w:lang w:eastAsia="pt-BR"/>
        </w:rPr>
        <w:footnoteReference w:id="6"/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t xml:space="preserve">, o Brasil é um dos países com maior desigualdade de distribuição de terra no mundo o que acrescenta outras tantas camadas aos </w:t>
      </w:r>
      <w:r w:rsidRPr="007F44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instrumentos jurídicos citados e relações políticas derivadas de suas aplicações (CHIARETTI, 2020). </w:t>
      </w:r>
    </w:p>
    <w:p w14:paraId="2B6E201F" w14:textId="77777777" w:rsidR="002E459A" w:rsidRPr="007F4404" w:rsidRDefault="002E459A" w:rsidP="002E45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sz w:val="24"/>
          <w:szCs w:val="24"/>
          <w:lang w:eastAsia="pt-BR"/>
        </w:rPr>
        <w:t>A partir da reflexão desse trabalho, no apanhado histórico feito e na contextualização até o momento de escrita, é possível entender que a atualidade se afoga em mais de 500 anos de história calcada em paradigmas que não foram superados até hoje. O Brasil vive a radicalização de um projeto neoliberal embasado pela estrutura histórica de país-colônia. Esse território, para a ordem global, assim como a América Latina, foi e é lido como banco de lastros para os países e empresas do capitalismo central.  </w:t>
      </w:r>
    </w:p>
    <w:p w14:paraId="3AD316DC" w14:textId="77777777" w:rsidR="00190E0D" w:rsidRPr="007F4404" w:rsidRDefault="00190E0D" w:rsidP="002E45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20C858" w14:textId="111BD9D0" w:rsidR="002E459A" w:rsidRDefault="002E459A" w:rsidP="002E459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F44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REFERÊNCIAS   </w:t>
      </w:r>
    </w:p>
    <w:p w14:paraId="747FAD5E" w14:textId="77777777" w:rsidR="007F4404" w:rsidRPr="007F4404" w:rsidRDefault="007F4404" w:rsidP="002E4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BC50DD" w14:textId="77777777" w:rsidR="00175E34" w:rsidRPr="007F4404" w:rsidRDefault="00175E34" w:rsidP="00175E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F4404">
        <w:rPr>
          <w:rFonts w:ascii="Arial" w:hAnsi="Arial" w:cs="Arial"/>
        </w:rPr>
        <w:t xml:space="preserve">ALIANÇA PARA O PROGRESSO. Disponível em: </w:t>
      </w:r>
      <w:hyperlink r:id="rId7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http://www.fgv.br/cpdoc/acervo/dicionarios/verbete-tematico/alianca-para-o-progresso-1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3F771C0E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BRASIL(a). </w:t>
      </w:r>
      <w:r w:rsidRPr="007F4404">
        <w:rPr>
          <w:rFonts w:ascii="Arial" w:hAnsi="Arial" w:cs="Arial"/>
          <w:b/>
          <w:bCs/>
        </w:rPr>
        <w:t>Lei nº 605 de 28 de setembro de 1850</w:t>
      </w:r>
      <w:r w:rsidRPr="007F4404">
        <w:rPr>
          <w:rFonts w:ascii="Arial" w:hAnsi="Arial" w:cs="Arial"/>
        </w:rPr>
        <w:t>. Disponível em: &lt;http://www.planalto.gov.br/ccivil_03/LEIS/L0601-1850.htm&gt; Acesso: 11 mai. 2020.</w:t>
      </w:r>
    </w:p>
    <w:p w14:paraId="577C22E5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BRASIL(b). Lei n. 8.031, de 12 de abril de 1990. Cria o Programa Nacional de Desestatização, e dá outras providências. Disponível em: </w:t>
      </w:r>
      <w:hyperlink r:id="rId8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http://www.planalto.gov.br/ccivil_03/leis/L8031.htm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505394EA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BRASIL(c). </w:t>
      </w:r>
      <w:r w:rsidRPr="007F4404">
        <w:rPr>
          <w:rFonts w:ascii="Arial" w:hAnsi="Arial" w:cs="Arial"/>
          <w:b/>
          <w:bCs/>
        </w:rPr>
        <w:t>Lei nº 4.504, de 30 de novembro de 1964</w:t>
      </w:r>
      <w:r w:rsidRPr="007F4404">
        <w:rPr>
          <w:rFonts w:ascii="Arial" w:hAnsi="Arial" w:cs="Arial"/>
        </w:rPr>
        <w:t>. Disponível em: &lt;</w:t>
      </w:r>
      <w:hyperlink r:id="rId9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http://www.planalto.gov.br/ccivil_03/leis/l4504.htm</w:t>
        </w:r>
      </w:hyperlink>
      <w:r w:rsidRPr="007F4404">
        <w:rPr>
          <w:rFonts w:ascii="Arial" w:hAnsi="Arial" w:cs="Arial"/>
        </w:rPr>
        <w:t>&gt; Acesso: 11 mai. 2020.</w:t>
      </w:r>
    </w:p>
    <w:p w14:paraId="3184BA2A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BRASIL(d). </w:t>
      </w:r>
      <w:r w:rsidRPr="007F4404">
        <w:rPr>
          <w:rFonts w:ascii="Arial" w:hAnsi="Arial" w:cs="Arial"/>
          <w:b/>
          <w:bCs/>
        </w:rPr>
        <w:t>Constituição da República Federativa do Brasil</w:t>
      </w:r>
      <w:r w:rsidRPr="007F4404">
        <w:rPr>
          <w:rFonts w:ascii="Arial" w:hAnsi="Arial" w:cs="Arial"/>
        </w:rPr>
        <w:t xml:space="preserve">, 05 de outubro de 1988. Disponível em: </w:t>
      </w:r>
      <w:hyperlink r:id="rId10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http://www.planalto.gov.br/ccivil_03/constituicao/constituicao.htm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4BE698FA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BRASIL(e). </w:t>
      </w:r>
      <w:r w:rsidRPr="007F4404">
        <w:rPr>
          <w:rFonts w:ascii="Arial" w:hAnsi="Arial" w:cs="Arial"/>
          <w:b/>
          <w:bCs/>
        </w:rPr>
        <w:t>Lei nº 13.465 de 11 de julho de 2017</w:t>
      </w:r>
      <w:r w:rsidRPr="007F4404">
        <w:rPr>
          <w:rFonts w:ascii="Arial" w:hAnsi="Arial" w:cs="Arial"/>
        </w:rPr>
        <w:t>. Disponível em: &lt;http://www.planalto.gov.br/ccivil_03/_Ato2015-2018/2017/Lei/L13465.htm&gt; Acesso: 11 mai. 2020</w:t>
      </w:r>
    </w:p>
    <w:p w14:paraId="68877FBE" w14:textId="359693AF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BRASIL(f). </w:t>
      </w:r>
      <w:r w:rsidRPr="007F4404">
        <w:rPr>
          <w:rFonts w:ascii="Arial" w:hAnsi="Arial" w:cs="Arial"/>
          <w:b/>
          <w:bCs/>
        </w:rPr>
        <w:t>Projeto de Lei n. 2.963</w:t>
      </w:r>
      <w:r w:rsidRPr="007F4404">
        <w:rPr>
          <w:rFonts w:ascii="Arial" w:hAnsi="Arial" w:cs="Arial"/>
        </w:rPr>
        <w:t xml:space="preserve">, 20 de maio de 2019. Disponível em: </w:t>
      </w:r>
      <w:hyperlink r:id="rId11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https://legis.senado.leg.br/sdleg-getter/documento?dm=7955264&amp;ts=1583967678372&amp;disposition=inline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313C7C75" w14:textId="40BB1322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>BRASIL(g).</w:t>
      </w:r>
      <w:r w:rsidRPr="007F4404">
        <w:rPr>
          <w:rFonts w:ascii="Arial" w:hAnsi="Arial" w:cs="Arial"/>
          <w:b/>
          <w:bCs/>
        </w:rPr>
        <w:t xml:space="preserve"> Projeto de Lei do Senado n. 107, 24 de março de 2011</w:t>
      </w:r>
      <w:r w:rsidRPr="007F4404">
        <w:rPr>
          <w:rFonts w:ascii="Arial" w:hAnsi="Arial" w:cs="Arial"/>
        </w:rPr>
        <w:t xml:space="preserve">. Disponível em: legis.senado.leg.br/sdleg-getter/documento?dm=3394040&amp;ts=1571775617324&amp;disposition=inline.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26C1C091" w14:textId="77777777" w:rsidR="00BA4EFB" w:rsidRPr="007F4404" w:rsidRDefault="00BA4EFB" w:rsidP="00BA4EFB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  <w:shd w:val="clear" w:color="auto" w:fill="FFFFFF"/>
        </w:rPr>
        <w:t xml:space="preserve">BRASIL(h). </w:t>
      </w:r>
      <w:r w:rsidRPr="007F4404">
        <w:rPr>
          <w:rFonts w:ascii="Arial" w:hAnsi="Arial" w:cs="Arial"/>
          <w:b/>
          <w:bCs/>
          <w:shd w:val="clear" w:color="auto" w:fill="FFFFFF"/>
        </w:rPr>
        <w:t>Medida Provisória n. 910</w:t>
      </w:r>
      <w:r w:rsidRPr="007F4404">
        <w:rPr>
          <w:rFonts w:ascii="Arial" w:hAnsi="Arial" w:cs="Arial"/>
          <w:shd w:val="clear" w:color="auto" w:fill="FFFFFF"/>
        </w:rPr>
        <w:t xml:space="preserve">, de 10 de dezembro de 2019. Disponível em: </w:t>
      </w:r>
      <w:hyperlink r:id="rId12" w:history="1">
        <w:r w:rsidRPr="007F4404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http://www.planalto.gov.br/ccivil_03/_ato2019-2022/2019/Mpv/mpv910.htm</w:t>
        </w:r>
      </w:hyperlink>
      <w:r w:rsidRPr="007F4404">
        <w:rPr>
          <w:rFonts w:ascii="Arial" w:hAnsi="Arial" w:cs="Arial"/>
          <w:shd w:val="clear" w:color="auto" w:fill="FFFFFF"/>
        </w:rPr>
        <w:t xml:space="preserve">. Acesso em 11 </w:t>
      </w:r>
      <w:proofErr w:type="spellStart"/>
      <w:r w:rsidRPr="007F4404">
        <w:rPr>
          <w:rFonts w:ascii="Arial" w:hAnsi="Arial" w:cs="Arial"/>
          <w:shd w:val="clear" w:color="auto" w:fill="FFFFFF"/>
        </w:rPr>
        <w:t>mai</w:t>
      </w:r>
      <w:proofErr w:type="spellEnd"/>
      <w:r w:rsidRPr="007F4404">
        <w:rPr>
          <w:rFonts w:ascii="Arial" w:hAnsi="Arial" w:cs="Arial"/>
          <w:shd w:val="clear" w:color="auto" w:fill="FFFFFF"/>
        </w:rPr>
        <w:t xml:space="preserve"> 2020.</w:t>
      </w:r>
    </w:p>
    <w:p w14:paraId="787F6593" w14:textId="43E8D58E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>BRASIL(</w:t>
      </w:r>
      <w:r w:rsidR="00BA4EFB" w:rsidRPr="007F4404">
        <w:rPr>
          <w:rFonts w:ascii="Arial" w:hAnsi="Arial" w:cs="Arial"/>
        </w:rPr>
        <w:t>i</w:t>
      </w:r>
      <w:r w:rsidRPr="007F4404">
        <w:rPr>
          <w:rFonts w:ascii="Arial" w:hAnsi="Arial" w:cs="Arial"/>
        </w:rPr>
        <w:t xml:space="preserve">). </w:t>
      </w:r>
      <w:r w:rsidRPr="007F4404">
        <w:rPr>
          <w:rFonts w:ascii="Arial" w:hAnsi="Arial" w:cs="Arial"/>
          <w:b/>
          <w:bCs/>
        </w:rPr>
        <w:t>Proposta de Emenda à Constituição n. 80</w:t>
      </w:r>
      <w:r w:rsidRPr="007F4404">
        <w:rPr>
          <w:rFonts w:ascii="Arial" w:hAnsi="Arial" w:cs="Arial"/>
        </w:rPr>
        <w:t xml:space="preserve">, 21de maio de 2019. Disponível em: </w:t>
      </w:r>
      <w:hyperlink r:id="rId13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https://legis.senado.leg.br/sdleg-getter/documento?dm=7955908&amp;ts=1588688889313&amp;disposition=inline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2BD2C2D6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lastRenderedPageBreak/>
        <w:t xml:space="preserve">CHIARETTI, Daniela. </w:t>
      </w:r>
      <w:r w:rsidRPr="007F4404">
        <w:rPr>
          <w:rFonts w:ascii="Arial" w:hAnsi="Arial" w:cs="Arial"/>
          <w:b/>
          <w:bCs/>
        </w:rPr>
        <w:t xml:space="preserve">Desigualdade da distribuição de terras no país é uma das mais altas do mundo. </w:t>
      </w:r>
      <w:r w:rsidRPr="007F4404">
        <w:rPr>
          <w:rFonts w:ascii="Arial" w:hAnsi="Arial" w:cs="Arial"/>
        </w:rPr>
        <w:t xml:space="preserve">Valor Econômico, São Paulo, 2020. Disponível em: </w:t>
      </w:r>
      <w:hyperlink r:id="rId14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https://valor.globo.com/agronegocios/noticia/2020/05/11/desigualdade-da-distribuicao-de-terras-no-pais-e-uma-das-mais-altas-do-mundo.ghtml</w:t>
        </w:r>
      </w:hyperlink>
      <w:r w:rsidRPr="007F4404">
        <w:rPr>
          <w:rFonts w:ascii="Arial" w:hAnsi="Arial" w:cs="Arial"/>
        </w:rPr>
        <w:t xml:space="preserve"> Acesso em: 12 de mai. 2020.</w:t>
      </w:r>
    </w:p>
    <w:p w14:paraId="4F895B77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  <w:shd w:val="clear" w:color="auto" w:fill="FFFFFF"/>
        </w:rPr>
        <w:t xml:space="preserve">CORRÊA, Tulio Colombo. </w:t>
      </w:r>
      <w:r w:rsidRPr="007F4404">
        <w:rPr>
          <w:rFonts w:ascii="Arial" w:hAnsi="Arial" w:cs="Arial"/>
          <w:b/>
          <w:bCs/>
          <w:shd w:val="clear" w:color="auto" w:fill="FFFFFF"/>
        </w:rPr>
        <w:t>O golpe e a produção do espaço</w:t>
      </w:r>
      <w:r w:rsidRPr="007F4404">
        <w:rPr>
          <w:rFonts w:ascii="Arial" w:hAnsi="Arial" w:cs="Arial"/>
          <w:shd w:val="clear" w:color="auto" w:fill="FFFFFF"/>
        </w:rPr>
        <w:t xml:space="preserve">. 2018. 79 f. Monografia (Graduação em Arquitetura e Urbanismo) - Escola de Minas, Universidade Federal de Ouro Preto, Ouro Preto, 2018. Disponível em: </w:t>
      </w:r>
      <w:hyperlink r:id="rId15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https://monografias.ufop.br/handle/35400000/2128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6386C842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  <w:sz w:val="23"/>
          <w:szCs w:val="23"/>
          <w:shd w:val="clear" w:color="auto" w:fill="FFFFFF"/>
        </w:rPr>
        <w:t xml:space="preserve">Disponível em: </w:t>
      </w:r>
      <w:hyperlink r:id="rId16" w:history="1">
        <w:r w:rsidRPr="007F4404">
          <w:rPr>
            <w:rStyle w:val="Hyperlink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http://www.mpf.mp.br/pfdc/noticias/nova-mp-da-regularizacao-fundiaria-estimula-grilagem-de-terras-e-ampliara-conflitos-no-campo-alerta-pfdc</w:t>
        </w:r>
      </w:hyperlink>
      <w:r w:rsidRPr="007F4404">
        <w:rPr>
          <w:rFonts w:ascii="Arial" w:hAnsi="Arial" w:cs="Arial"/>
          <w:sz w:val="23"/>
          <w:szCs w:val="23"/>
          <w:shd w:val="clear" w:color="auto" w:fill="FFFFFF"/>
        </w:rPr>
        <w:t xml:space="preserve"> Acesso em: 12 de mai. 2020.</w:t>
      </w:r>
    </w:p>
    <w:p w14:paraId="44BD789F" w14:textId="77777777" w:rsidR="00175E34" w:rsidRPr="007F4404" w:rsidRDefault="00175E34" w:rsidP="00175E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F4404">
        <w:rPr>
          <w:rFonts w:ascii="Arial" w:hAnsi="Arial" w:cs="Arial"/>
        </w:rPr>
        <w:t xml:space="preserve">DULCI, Luiza e TUBINO, Nilton. </w:t>
      </w:r>
      <w:r w:rsidRPr="007F4404">
        <w:rPr>
          <w:rFonts w:ascii="Arial" w:hAnsi="Arial" w:cs="Arial"/>
          <w:b/>
          <w:bCs/>
        </w:rPr>
        <w:t xml:space="preserve">Três projetos no Senado avançam sobre a legislação fundiária brasileira. </w:t>
      </w:r>
      <w:r w:rsidRPr="007F4404">
        <w:rPr>
          <w:rFonts w:ascii="Arial" w:hAnsi="Arial" w:cs="Arial"/>
        </w:rPr>
        <w:t>MST - Brasil Debate, 2019. Disponível em: </w:t>
      </w:r>
    </w:p>
    <w:p w14:paraId="33C95423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FERREIRA FILHO, José Marcelo Marques. </w:t>
      </w:r>
      <w:r w:rsidRPr="007F4404">
        <w:rPr>
          <w:rFonts w:ascii="Arial" w:hAnsi="Arial" w:cs="Arial"/>
          <w:b/>
          <w:bCs/>
        </w:rPr>
        <w:t>Arquitetura espacial da plantation açucareira no Nordeste do Brasil (Pernambuco, século XX).</w:t>
      </w:r>
      <w:r w:rsidRPr="007F4404">
        <w:rPr>
          <w:rFonts w:ascii="Arial" w:hAnsi="Arial" w:cs="Arial"/>
        </w:rPr>
        <w:t xml:space="preserve"> Tese Doutorado de História da Universidade Federal de Pernambuco – UFPE. Disponível em: </w:t>
      </w:r>
      <w:hyperlink r:id="rId17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https://repositorio.ufpe.br/handle/123456789/17280</w:t>
        </w:r>
      </w:hyperlink>
      <w:r w:rsidRPr="007F4404">
        <w:rPr>
          <w:rFonts w:ascii="Arial" w:hAnsi="Arial" w:cs="Arial"/>
        </w:rPr>
        <w:t xml:space="preserve">. Acesso em 11 </w:t>
      </w:r>
      <w:proofErr w:type="spellStart"/>
      <w:r w:rsidRPr="007F4404">
        <w:rPr>
          <w:rFonts w:ascii="Arial" w:hAnsi="Arial" w:cs="Arial"/>
        </w:rPr>
        <w:t>mai</w:t>
      </w:r>
      <w:proofErr w:type="spellEnd"/>
      <w:r w:rsidRPr="007F4404">
        <w:rPr>
          <w:rFonts w:ascii="Arial" w:hAnsi="Arial" w:cs="Arial"/>
        </w:rPr>
        <w:t xml:space="preserve"> 2020.</w:t>
      </w:r>
    </w:p>
    <w:p w14:paraId="4DAD9D87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FILGUEIRAS, Luiz. </w:t>
      </w:r>
      <w:r w:rsidRPr="007F4404">
        <w:rPr>
          <w:rFonts w:ascii="Arial" w:hAnsi="Arial" w:cs="Arial"/>
          <w:b/>
          <w:bCs/>
        </w:rPr>
        <w:t>História do Plano Real. São Paulo:</w:t>
      </w:r>
      <w:r w:rsidRPr="007F4404">
        <w:rPr>
          <w:rFonts w:ascii="Arial" w:hAnsi="Arial" w:cs="Arial"/>
        </w:rPr>
        <w:t xml:space="preserve"> </w:t>
      </w:r>
      <w:proofErr w:type="spellStart"/>
      <w:r w:rsidRPr="007F4404">
        <w:rPr>
          <w:rFonts w:ascii="Arial" w:hAnsi="Arial" w:cs="Arial"/>
        </w:rPr>
        <w:t>Boitempo</w:t>
      </w:r>
      <w:proofErr w:type="spellEnd"/>
      <w:r w:rsidRPr="007F4404">
        <w:rPr>
          <w:rFonts w:ascii="Arial" w:hAnsi="Arial" w:cs="Arial"/>
        </w:rPr>
        <w:t>, 2006.</w:t>
      </w:r>
    </w:p>
    <w:p w14:paraId="18812394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FURTADO, Celso. </w:t>
      </w:r>
      <w:r w:rsidRPr="007F4404">
        <w:rPr>
          <w:rFonts w:ascii="Arial" w:hAnsi="Arial" w:cs="Arial"/>
          <w:b/>
          <w:bCs/>
        </w:rPr>
        <w:t>Economia Colonial no Brasil nos Séculos XVI e XVII - elementos de história econômica aplicados à análise de problemas econômicos e sociais</w:t>
      </w:r>
      <w:r w:rsidRPr="007F4404">
        <w:rPr>
          <w:rFonts w:ascii="Arial" w:hAnsi="Arial" w:cs="Arial"/>
        </w:rPr>
        <w:t xml:space="preserve">. São Paulo: Editora </w:t>
      </w:r>
      <w:proofErr w:type="spellStart"/>
      <w:r w:rsidRPr="007F4404">
        <w:rPr>
          <w:rFonts w:ascii="Arial" w:hAnsi="Arial" w:cs="Arial"/>
        </w:rPr>
        <w:t>Hucitec</w:t>
      </w:r>
      <w:proofErr w:type="spellEnd"/>
      <w:r w:rsidRPr="007F4404">
        <w:rPr>
          <w:rFonts w:ascii="Arial" w:hAnsi="Arial" w:cs="Arial"/>
        </w:rPr>
        <w:t>, 2001.</w:t>
      </w:r>
    </w:p>
    <w:p w14:paraId="2D3EAEF2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HARVEY, David. </w:t>
      </w:r>
      <w:r w:rsidRPr="007F4404">
        <w:rPr>
          <w:rFonts w:ascii="Arial" w:hAnsi="Arial" w:cs="Arial"/>
          <w:b/>
          <w:bCs/>
        </w:rPr>
        <w:t>Neoliberalismo – história e implicações</w:t>
      </w:r>
      <w:r w:rsidRPr="007F4404">
        <w:rPr>
          <w:rFonts w:ascii="Arial" w:hAnsi="Arial" w:cs="Arial"/>
          <w:i/>
          <w:iCs/>
        </w:rPr>
        <w:t xml:space="preserve">. </w:t>
      </w:r>
      <w:r w:rsidRPr="007F4404">
        <w:rPr>
          <w:rFonts w:ascii="Arial" w:hAnsi="Arial" w:cs="Arial"/>
        </w:rPr>
        <w:t>São Paulo: Edições Loyola, 2008.</w:t>
      </w:r>
    </w:p>
    <w:p w14:paraId="58CA4D02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HARVEY, David. </w:t>
      </w:r>
      <w:r w:rsidRPr="007F4404">
        <w:rPr>
          <w:rFonts w:ascii="Arial" w:hAnsi="Arial" w:cs="Arial"/>
          <w:b/>
          <w:bCs/>
        </w:rPr>
        <w:t xml:space="preserve">O novo imperialismo. </w:t>
      </w:r>
      <w:r w:rsidRPr="007F4404">
        <w:rPr>
          <w:rFonts w:ascii="Arial" w:hAnsi="Arial" w:cs="Arial"/>
        </w:rPr>
        <w:t>2ª Ed. São Paulo: Edições Loyola, 2005.</w:t>
      </w:r>
    </w:p>
    <w:p w14:paraId="63F9306C" w14:textId="77777777" w:rsidR="00175E34" w:rsidRPr="007F4404" w:rsidRDefault="00943348" w:rsidP="00175E34">
      <w:pPr>
        <w:pStyle w:val="NormalWeb"/>
        <w:spacing w:before="0" w:beforeAutospacing="0" w:after="0" w:afterAutospacing="0"/>
      </w:pPr>
      <w:hyperlink r:id="rId18" w:history="1">
        <w:r w:rsidR="00175E34" w:rsidRPr="007F4404">
          <w:rPr>
            <w:rStyle w:val="Hyperlink"/>
            <w:rFonts w:ascii="Arial" w:hAnsi="Arial" w:cs="Arial"/>
            <w:color w:val="auto"/>
            <w:u w:val="none"/>
          </w:rPr>
          <w:t>http://www.in.gov.br/en/web/dou/-/medida-provisoria-n-910-de-10-de-dezembro-de-2019-232671090</w:t>
        </w:r>
      </w:hyperlink>
    </w:p>
    <w:p w14:paraId="69C3923F" w14:textId="77777777" w:rsidR="00175E34" w:rsidRPr="007F4404" w:rsidRDefault="00943348" w:rsidP="00175E34">
      <w:pPr>
        <w:pStyle w:val="NormalWeb"/>
        <w:spacing w:before="0" w:beforeAutospacing="0" w:after="0" w:afterAutospacing="0"/>
      </w:pPr>
      <w:hyperlink r:id="rId19" w:history="1">
        <w:r w:rsidR="00175E34" w:rsidRPr="007F4404">
          <w:rPr>
            <w:rStyle w:val="Hyperlink"/>
            <w:rFonts w:ascii="Arial" w:hAnsi="Arial" w:cs="Arial"/>
            <w:color w:val="auto"/>
            <w:u w:val="none"/>
          </w:rPr>
          <w:t>https://mst.org.br/2019/11/22/tres-projetos-no-senado-avancam-sobre-a-legislacao-fundiaria-brasileira/</w:t>
        </w:r>
      </w:hyperlink>
      <w:r w:rsidR="00175E34" w:rsidRPr="007F4404">
        <w:rPr>
          <w:rFonts w:ascii="Arial" w:hAnsi="Arial" w:cs="Arial"/>
        </w:rPr>
        <w:t xml:space="preserve"> Acessado em: 12 de mai. 2020.</w:t>
      </w:r>
    </w:p>
    <w:p w14:paraId="0ECE7420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MARINI, Ruy Mauro. </w:t>
      </w:r>
      <w:proofErr w:type="spellStart"/>
      <w:r w:rsidRPr="007F4404">
        <w:rPr>
          <w:rFonts w:ascii="Arial" w:hAnsi="Arial" w:cs="Arial"/>
          <w:b/>
          <w:bCs/>
        </w:rPr>
        <w:t>Dialéctica</w:t>
      </w:r>
      <w:proofErr w:type="spellEnd"/>
      <w:r w:rsidRPr="007F4404">
        <w:rPr>
          <w:rFonts w:ascii="Arial" w:hAnsi="Arial" w:cs="Arial"/>
          <w:b/>
          <w:bCs/>
        </w:rPr>
        <w:t xml:space="preserve"> da dependência</w:t>
      </w:r>
      <w:r w:rsidRPr="007F4404">
        <w:rPr>
          <w:rFonts w:ascii="Arial" w:hAnsi="Arial" w:cs="Arial"/>
        </w:rPr>
        <w:t>. Coimbra: Editora Centelha, 1976.</w:t>
      </w:r>
    </w:p>
    <w:p w14:paraId="21499F0F" w14:textId="77777777" w:rsidR="00175E34" w:rsidRPr="007F4404" w:rsidRDefault="00175E34" w:rsidP="00175E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F4404">
        <w:rPr>
          <w:rFonts w:ascii="Arial" w:hAnsi="Arial" w:cs="Arial"/>
        </w:rPr>
        <w:t xml:space="preserve">MARX, Karl. </w:t>
      </w:r>
      <w:r w:rsidRPr="007F4404">
        <w:rPr>
          <w:rFonts w:ascii="Arial" w:hAnsi="Arial" w:cs="Arial"/>
          <w:b/>
          <w:bCs/>
        </w:rPr>
        <w:t xml:space="preserve">O Capital: crítica da economia política: livro 1 </w:t>
      </w:r>
      <w:r w:rsidRPr="007F4404">
        <w:rPr>
          <w:rFonts w:ascii="Arial" w:hAnsi="Arial" w:cs="Arial"/>
        </w:rPr>
        <w:t>- 27ª ed. - Rio de Janeiro: Civilização Brasileira, 2014. </w:t>
      </w:r>
    </w:p>
    <w:p w14:paraId="2067B51A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PEREIRA, J.M.M. </w:t>
      </w:r>
      <w:r w:rsidRPr="007F4404">
        <w:rPr>
          <w:rFonts w:ascii="Arial" w:hAnsi="Arial" w:cs="Arial"/>
          <w:b/>
          <w:bCs/>
        </w:rPr>
        <w:t>Neoliberalismo, políticas de terra e reforma agrária de mercado na América Latina</w:t>
      </w:r>
      <w:r w:rsidRPr="007F4404">
        <w:rPr>
          <w:rFonts w:ascii="Arial" w:hAnsi="Arial" w:cs="Arial"/>
        </w:rPr>
        <w:t>. In: PEREIRA, J.M.M. (</w:t>
      </w:r>
      <w:proofErr w:type="spellStart"/>
      <w:r w:rsidRPr="007F4404">
        <w:rPr>
          <w:rFonts w:ascii="Arial" w:hAnsi="Arial" w:cs="Arial"/>
        </w:rPr>
        <w:t>orgs</w:t>
      </w:r>
      <w:proofErr w:type="spellEnd"/>
      <w:r w:rsidRPr="007F4404">
        <w:rPr>
          <w:rFonts w:ascii="Arial" w:hAnsi="Arial" w:cs="Arial"/>
        </w:rPr>
        <w:t>). Capturando a terra: banco mundial, políticas fundiárias neoliberais e reforma agrária de mercado. 1ª ed. São Paulo: expressão popular, 2006. p.13 - 48.</w:t>
      </w:r>
    </w:p>
    <w:p w14:paraId="785ED028" w14:textId="77777777" w:rsidR="00175E34" w:rsidRPr="007F4404" w:rsidRDefault="00175E34" w:rsidP="00175E3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ROLNIK, Raquel. </w:t>
      </w:r>
      <w:r w:rsidRPr="007F4404">
        <w:rPr>
          <w:rFonts w:ascii="Arial" w:hAnsi="Arial" w:cs="Arial"/>
          <w:b/>
          <w:bCs/>
        </w:rPr>
        <w:t>Guerra dos lugares – a colonização da terra e da moradia na época das finanças</w:t>
      </w:r>
      <w:r w:rsidRPr="007F4404">
        <w:rPr>
          <w:rFonts w:ascii="Arial" w:hAnsi="Arial" w:cs="Arial"/>
        </w:rPr>
        <w:t xml:space="preserve">. 1ª ed. – São Paulo: </w:t>
      </w:r>
      <w:proofErr w:type="spellStart"/>
      <w:r w:rsidRPr="007F4404">
        <w:rPr>
          <w:rFonts w:ascii="Arial" w:hAnsi="Arial" w:cs="Arial"/>
        </w:rPr>
        <w:t>Boitempo</w:t>
      </w:r>
      <w:proofErr w:type="spellEnd"/>
      <w:r w:rsidRPr="007F4404">
        <w:rPr>
          <w:rFonts w:ascii="Arial" w:hAnsi="Arial" w:cs="Arial"/>
        </w:rPr>
        <w:t>, 2015</w:t>
      </w:r>
    </w:p>
    <w:p w14:paraId="3A9C31F1" w14:textId="77777777" w:rsidR="007F4404" w:rsidRPr="007F4404" w:rsidRDefault="00175E34" w:rsidP="007F440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SANTOS, Milton. </w:t>
      </w:r>
      <w:r w:rsidRPr="007F4404">
        <w:rPr>
          <w:rFonts w:ascii="Arial" w:hAnsi="Arial" w:cs="Arial"/>
          <w:b/>
          <w:bCs/>
        </w:rPr>
        <w:t>A natureza do espaço: técnica e tempo, razão e emoção</w:t>
      </w:r>
      <w:r w:rsidRPr="007F4404">
        <w:rPr>
          <w:rFonts w:ascii="Arial" w:hAnsi="Arial" w:cs="Arial"/>
        </w:rPr>
        <w:t xml:space="preserve">. 4ª ed. 8ª </w:t>
      </w:r>
      <w:proofErr w:type="spellStart"/>
      <w:r w:rsidRPr="007F4404">
        <w:rPr>
          <w:rFonts w:ascii="Arial" w:hAnsi="Arial" w:cs="Arial"/>
        </w:rPr>
        <w:t>reimp</w:t>
      </w:r>
      <w:proofErr w:type="spellEnd"/>
      <w:r w:rsidRPr="007F4404">
        <w:rPr>
          <w:rFonts w:ascii="Arial" w:hAnsi="Arial" w:cs="Arial"/>
        </w:rPr>
        <w:t>. São Paulo: Editora da Universidade de São Paulo, 2014.</w:t>
      </w:r>
    </w:p>
    <w:p w14:paraId="7CA5B5C2" w14:textId="17F55A76" w:rsidR="007F4404" w:rsidRPr="007F4404" w:rsidRDefault="00175E34" w:rsidP="007F4404">
      <w:pPr>
        <w:pStyle w:val="NormalWeb"/>
        <w:spacing w:before="0" w:beforeAutospacing="0" w:after="0" w:afterAutospacing="0"/>
      </w:pPr>
      <w:r w:rsidRPr="007F4404">
        <w:rPr>
          <w:rFonts w:ascii="Arial" w:hAnsi="Arial" w:cs="Arial"/>
        </w:rPr>
        <w:t xml:space="preserve">SIQUEIRA, Aluízio Cândido de. </w:t>
      </w:r>
      <w:r w:rsidRPr="007F4404">
        <w:rPr>
          <w:rFonts w:ascii="Arial" w:hAnsi="Arial" w:cs="Arial"/>
          <w:b/>
          <w:bCs/>
        </w:rPr>
        <w:t>Direito e legislação de terras</w:t>
      </w:r>
      <w:r w:rsidRPr="007F4404">
        <w:rPr>
          <w:rFonts w:ascii="Arial" w:hAnsi="Arial" w:cs="Arial"/>
        </w:rPr>
        <w:t>. 2ª ed. rev. aum. São Paulo: Saraiva, 1984.</w:t>
      </w:r>
    </w:p>
    <w:p w14:paraId="3EAD6D51" w14:textId="1AC11740" w:rsidR="00175E34" w:rsidRPr="007F4404" w:rsidRDefault="00175E34" w:rsidP="007F4404">
      <w:pPr>
        <w:pStyle w:val="NormalWeb"/>
        <w:spacing w:before="0" w:beforeAutospacing="0" w:after="240" w:afterAutospacing="0"/>
      </w:pPr>
      <w:r w:rsidRPr="007F4404">
        <w:rPr>
          <w:rFonts w:ascii="Arial" w:hAnsi="Arial" w:cs="Arial"/>
        </w:rPr>
        <w:t xml:space="preserve">SOUZA, Mariana Duarte de. </w:t>
      </w:r>
      <w:r w:rsidRPr="007F4404">
        <w:rPr>
          <w:rFonts w:ascii="Arial" w:hAnsi="Arial" w:cs="Arial"/>
          <w:b/>
          <w:bCs/>
        </w:rPr>
        <w:t xml:space="preserve">MP 910 entrega área pública maior que o estado da Bahia para grileiros. </w:t>
      </w:r>
      <w:r w:rsidRPr="007F4404">
        <w:rPr>
          <w:rFonts w:ascii="Arial" w:hAnsi="Arial" w:cs="Arial"/>
        </w:rPr>
        <w:t xml:space="preserve">Brasil de Fato, São Paulo, 2020. Disponível em: </w:t>
      </w:r>
      <w:hyperlink r:id="rId20" w:history="1">
        <w:r w:rsidRPr="007F4404">
          <w:rPr>
            <w:rStyle w:val="Hyperlink"/>
            <w:rFonts w:ascii="Arial" w:hAnsi="Arial" w:cs="Arial"/>
            <w:color w:val="auto"/>
            <w:u w:val="none"/>
          </w:rPr>
          <w:t>https://www.brasildefato.com.br/2020/05/12/mp-910-entrega-65-milhoes-de-hectares-publicos-para-uso-privado-denuncia-procuradora</w:t>
        </w:r>
      </w:hyperlink>
      <w:r w:rsidRPr="007F4404">
        <w:rPr>
          <w:rFonts w:ascii="Arial" w:hAnsi="Arial" w:cs="Arial"/>
        </w:rPr>
        <w:t xml:space="preserve"> Acesso em 12 de mai. 2020.</w:t>
      </w:r>
    </w:p>
    <w:p w14:paraId="35EDF8B7" w14:textId="139DCC29" w:rsidR="008C08A5" w:rsidRPr="007F4404" w:rsidRDefault="008C08A5"/>
    <w:sectPr w:rsidR="008C08A5" w:rsidRPr="007F4404" w:rsidSect="00DA55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9F500" w14:textId="77777777" w:rsidR="00943348" w:rsidRDefault="00943348" w:rsidP="002E459A">
      <w:pPr>
        <w:spacing w:after="0" w:line="240" w:lineRule="auto"/>
      </w:pPr>
      <w:r>
        <w:separator/>
      </w:r>
    </w:p>
  </w:endnote>
  <w:endnote w:type="continuationSeparator" w:id="0">
    <w:p w14:paraId="623E75C5" w14:textId="77777777" w:rsidR="00943348" w:rsidRDefault="00943348" w:rsidP="002E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726A" w14:textId="77777777" w:rsidR="00943348" w:rsidRDefault="00943348" w:rsidP="002E459A">
      <w:pPr>
        <w:spacing w:after="0" w:line="240" w:lineRule="auto"/>
      </w:pPr>
      <w:r>
        <w:separator/>
      </w:r>
    </w:p>
  </w:footnote>
  <w:footnote w:type="continuationSeparator" w:id="0">
    <w:p w14:paraId="05584BE2" w14:textId="77777777" w:rsidR="00943348" w:rsidRDefault="00943348" w:rsidP="002E459A">
      <w:pPr>
        <w:spacing w:after="0" w:line="240" w:lineRule="auto"/>
      </w:pPr>
      <w:r>
        <w:continuationSeparator/>
      </w:r>
    </w:p>
  </w:footnote>
  <w:footnote w:id="1">
    <w:p w14:paraId="5A7C722F" w14:textId="77777777" w:rsidR="00063D9D" w:rsidRDefault="00063D9D" w:rsidP="00063D9D">
      <w:pPr>
        <w:pStyle w:val="NormalWeb"/>
        <w:spacing w:before="0" w:beforeAutospacing="0" w:after="0" w:afterAutospacing="0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Analisemos seus elementos constitutivos para dizer em que condições pode-se falar de colonização. Para que haja penetração ou comunicação entre os povos, é necessário, primeiramente, que se realize uma dominação dos países novos, ou uma sujeição dos povos novos. a emigração sem a dominação não é colonização, tampouco o é a dominação sem a emigração [...]. Se há apenas dominação, é a anexação ou a expansão, mas não a ocupação, a exploração e a administração que são, de direito, a colonização. (tradução do autor)</w:t>
      </w:r>
    </w:p>
    <w:p w14:paraId="2A862AAB" w14:textId="73354CBD" w:rsidR="00063D9D" w:rsidRDefault="00063D9D">
      <w:pPr>
        <w:pStyle w:val="FootnoteText"/>
      </w:pPr>
    </w:p>
  </w:footnote>
  <w:footnote w:id="2">
    <w:p w14:paraId="174CFC8E" w14:textId="385F09FA" w:rsidR="002E459A" w:rsidRDefault="002E459A" w:rsidP="003C33C3">
      <w:pPr>
        <w:pStyle w:val="FootnoteText"/>
        <w:spacing w:before="240"/>
        <w:ind w:left="142" w:hanging="142"/>
      </w:pPr>
      <w:r>
        <w:rPr>
          <w:rStyle w:val="FootnoteReference"/>
        </w:rPr>
        <w:footnoteRef/>
      </w:r>
      <w:r>
        <w:t xml:space="preserve"> </w:t>
      </w:r>
      <w:r w:rsidR="003C33C3">
        <w:rPr>
          <w:rFonts w:ascii="Arial" w:hAnsi="Arial" w:cs="Arial"/>
          <w:color w:val="000000"/>
        </w:rPr>
        <w:t> Lei n° 8.031, de 12 de abril de 1990, que criou o Programa Nacional de Desestatização (PND) (BRASIL(b) [1997]).</w:t>
      </w:r>
    </w:p>
  </w:footnote>
  <w:footnote w:id="3">
    <w:p w14:paraId="7F819405" w14:textId="77777777" w:rsidR="00812C0A" w:rsidRDefault="00812C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 xml:space="preserve">Projeto “Uma ponte para o futuro” plano do governo Temer, Fundação Ulysses Guimarães 2016 </w:t>
      </w:r>
      <w:hyperlink r:id="rId1" w:history="1">
        <w:r>
          <w:rPr>
            <w:rStyle w:val="Hyperlink"/>
            <w:rFonts w:ascii="Arial" w:hAnsi="Arial" w:cs="Arial"/>
            <w:color w:val="1155CC"/>
          </w:rPr>
          <w:t>https://www.fundacaoulysses.org.br/wp-content/uploads/2016/11/UMA-PONTE-PARA-O-FUTURO.pdf</w:t>
        </w:r>
      </w:hyperlink>
      <w:r>
        <w:rPr>
          <w:rFonts w:ascii="Arial" w:hAnsi="Arial" w:cs="Arial"/>
          <w:color w:val="000000"/>
        </w:rPr>
        <w:t xml:space="preserve"> e Projeto “Fênix”, plano de governo Bolsonaro  2018,  </w:t>
      </w:r>
      <w:hyperlink r:id="rId2" w:history="1">
        <w:r>
          <w:rPr>
            <w:rStyle w:val="Hyperlink"/>
            <w:rFonts w:ascii="Arial" w:hAnsi="Arial" w:cs="Arial"/>
            <w:color w:val="1155CC"/>
          </w:rPr>
          <w:t>http://divulgacandcontas.tse.jus.br/candidaturas/oficial/2018/BR/BR/2022802018/280000614517/proposta_1534284632231.pdf</w:t>
        </w:r>
      </w:hyperlink>
    </w:p>
  </w:footnote>
  <w:footnote w:id="4">
    <w:p w14:paraId="29188C1D" w14:textId="213DB563" w:rsidR="00C47243" w:rsidRPr="00BA4EFB" w:rsidRDefault="00C47243" w:rsidP="00BA4EFB">
      <w:pPr>
        <w:pStyle w:val="FootnoteText"/>
        <w:ind w:left="142" w:hanging="142"/>
        <w:jc w:val="both"/>
      </w:pPr>
      <w:r w:rsidRPr="00BA4EFB">
        <w:rPr>
          <w:rStyle w:val="FootnoteReference"/>
        </w:rPr>
        <w:footnoteRef/>
      </w:r>
      <w:r w:rsidRPr="00BA4EFB">
        <w:t xml:space="preserve"> Caracterizada dessa forma, segundo relato do jornal Brasil de Fato do dia 12 de maio de 2020, no debate promovido pela organização Terra de Direitos</w:t>
      </w:r>
      <w:r w:rsidR="003A4DEF" w:rsidRPr="00BA4EFB">
        <w:t xml:space="preserve"> com “mediação de Maíra Moreira, assessora jurídica da organização, e</w:t>
      </w:r>
      <w:r w:rsidR="00BA4EFB">
        <w:t xml:space="preserve"> </w:t>
      </w:r>
      <w:r w:rsidR="003A4DEF" w:rsidRPr="00BA4EFB">
        <w:t xml:space="preserve">participação da Procuradora Federal dos Direitos do Cidadão (PFDC), Deborah Duprat, e Acácio </w:t>
      </w:r>
      <w:r w:rsidR="003A4DEF" w:rsidRPr="00BA4EFB">
        <w:t>Briozo da Associação Brasileira de Reforma Agrária (ABRA)” (SOUZA, 2020)</w:t>
      </w:r>
      <w:r w:rsidR="00BA4EFB">
        <w:t>.</w:t>
      </w:r>
    </w:p>
  </w:footnote>
  <w:footnote w:id="5">
    <w:p w14:paraId="1AC9F7D5" w14:textId="4C21C068" w:rsidR="007D49A6" w:rsidRDefault="007D49A6" w:rsidP="00BA4EFB">
      <w:pPr>
        <w:pStyle w:val="FootnoteText"/>
        <w:ind w:left="142" w:hanging="142"/>
      </w:pPr>
      <w:r w:rsidRPr="00BA4EFB">
        <w:rPr>
          <w:rStyle w:val="FootnoteReference"/>
        </w:rPr>
        <w:footnoteRef/>
      </w:r>
      <w:r w:rsidRPr="00BA4EFB">
        <w:t xml:space="preserve"> Medida Provisória é um instrumento de proposição legal</w:t>
      </w:r>
      <w:r w:rsidR="00BA4EFB">
        <w:t xml:space="preserve"> </w:t>
      </w:r>
      <w:r w:rsidRPr="00BA4EFB">
        <w:t>do poder</w:t>
      </w:r>
      <w:r w:rsidR="00BA4EFB">
        <w:t xml:space="preserve"> </w:t>
      </w:r>
      <w:r w:rsidRPr="00BA4EFB">
        <w:t>executivo, portanto denota a intenção direta do executivo dos desdobramentos enunciados.</w:t>
      </w:r>
    </w:p>
  </w:footnote>
  <w:footnote w:id="6">
    <w:p w14:paraId="2DC3F799" w14:textId="239024DB" w:rsidR="00812C0A" w:rsidRDefault="00812C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 xml:space="preserve">O Índice de Gini é utilizado para medir o grau de concentração de renda em determinado grupo, </w:t>
      </w:r>
      <w:r>
        <w:rPr>
          <w:rFonts w:ascii="Arial" w:hAnsi="Arial" w:cs="Arial"/>
          <w:color w:val="000000"/>
        </w:rPr>
        <w:t>Um cenário equânime, onde todos teriam a mesma quantidade de terra, é entendido pelo valor zero, no caso a pontuação brasileira é de 0,73.</w:t>
      </w:r>
      <w:r w:rsidR="007D49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(CHIARETTI, 2020)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9A"/>
    <w:rsid w:val="000116A6"/>
    <w:rsid w:val="00063D9D"/>
    <w:rsid w:val="00175E34"/>
    <w:rsid w:val="00190E0D"/>
    <w:rsid w:val="001C4304"/>
    <w:rsid w:val="001D5795"/>
    <w:rsid w:val="002D3051"/>
    <w:rsid w:val="002E0287"/>
    <w:rsid w:val="002E058E"/>
    <w:rsid w:val="002E459A"/>
    <w:rsid w:val="002F2C11"/>
    <w:rsid w:val="002F6BFA"/>
    <w:rsid w:val="00352293"/>
    <w:rsid w:val="0036758B"/>
    <w:rsid w:val="003A4DEF"/>
    <w:rsid w:val="003C33C3"/>
    <w:rsid w:val="00406C4C"/>
    <w:rsid w:val="004B4E56"/>
    <w:rsid w:val="004C5F35"/>
    <w:rsid w:val="004D75C9"/>
    <w:rsid w:val="00513BDE"/>
    <w:rsid w:val="00535315"/>
    <w:rsid w:val="00544BAD"/>
    <w:rsid w:val="00570C2F"/>
    <w:rsid w:val="005E35B1"/>
    <w:rsid w:val="00642CCF"/>
    <w:rsid w:val="00693F87"/>
    <w:rsid w:val="006A05CA"/>
    <w:rsid w:val="006C682D"/>
    <w:rsid w:val="007C1558"/>
    <w:rsid w:val="007D49A6"/>
    <w:rsid w:val="007F4404"/>
    <w:rsid w:val="00812C0A"/>
    <w:rsid w:val="0085517A"/>
    <w:rsid w:val="00863435"/>
    <w:rsid w:val="008C0161"/>
    <w:rsid w:val="008C08A5"/>
    <w:rsid w:val="009043D0"/>
    <w:rsid w:val="00912131"/>
    <w:rsid w:val="00943348"/>
    <w:rsid w:val="00991B49"/>
    <w:rsid w:val="009A3DE0"/>
    <w:rsid w:val="009A5E13"/>
    <w:rsid w:val="009D3A1A"/>
    <w:rsid w:val="00A95B20"/>
    <w:rsid w:val="00AE5996"/>
    <w:rsid w:val="00B43F68"/>
    <w:rsid w:val="00BA4EFB"/>
    <w:rsid w:val="00BB3EA4"/>
    <w:rsid w:val="00C13C82"/>
    <w:rsid w:val="00C43687"/>
    <w:rsid w:val="00C47243"/>
    <w:rsid w:val="00CB3697"/>
    <w:rsid w:val="00D050F2"/>
    <w:rsid w:val="00D31E2E"/>
    <w:rsid w:val="00D57DD1"/>
    <w:rsid w:val="00D667A0"/>
    <w:rsid w:val="00D870DD"/>
    <w:rsid w:val="00DA55EF"/>
    <w:rsid w:val="00DF5BDC"/>
    <w:rsid w:val="00E23071"/>
    <w:rsid w:val="00F66B0E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45D5"/>
  <w15:chartTrackingRefBased/>
  <w15:docId w15:val="{DBC727D6-5FDA-4846-9EFE-129811CB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2E459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E459A"/>
  </w:style>
  <w:style w:type="paragraph" w:styleId="FootnoteText">
    <w:name w:val="footnote text"/>
    <w:basedOn w:val="Normal"/>
    <w:link w:val="FootnoteTextChar"/>
    <w:uiPriority w:val="99"/>
    <w:semiHidden/>
    <w:unhideWhenUsed/>
    <w:rsid w:val="002E4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4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459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B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8031.htm" TargetMode="External"/><Relationship Id="rId13" Type="http://schemas.openxmlformats.org/officeDocument/2006/relationships/hyperlink" Target="https://legis.senado.leg.br/sdleg-getter/documento?dm=7955908&amp;ts=1588688889313&amp;disposition=inline" TargetMode="External"/><Relationship Id="rId18" Type="http://schemas.openxmlformats.org/officeDocument/2006/relationships/hyperlink" Target="http://www.in.gov.br/en/web/dou/-/medida-provisoria-n-910-de-10-de-dezembro-de-2019-23267109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gv.br/cpdoc/acervo/dicionarios/verbete-tematico/alianca-para-o-progresso-1" TargetMode="External"/><Relationship Id="rId12" Type="http://schemas.openxmlformats.org/officeDocument/2006/relationships/hyperlink" Target="http://www.planalto.gov.br/ccivil_03/_ato2019-2022/2019/Mpv/mpv910.htm" TargetMode="External"/><Relationship Id="rId17" Type="http://schemas.openxmlformats.org/officeDocument/2006/relationships/hyperlink" Target="https://repositorio.ufpe.br/handle/123456789/172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pf.mp.br/pfdc/noticias/nova-mp-da-regularizacao-fundiaria-estimula-grilagem-de-terras-e-ampliara-conflitos-no-campo-alerta-pfdc" TargetMode="External"/><Relationship Id="rId20" Type="http://schemas.openxmlformats.org/officeDocument/2006/relationships/hyperlink" Target="https://www.brasildefato.com.br/2020/05/12/mp-910-entrega-65-milhoes-de-hectares-publicos-para-uso-privado-denuncia-procurador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gis.senado.leg.br/sdleg-getter/documento?dm=7955264&amp;ts=1583967678372&amp;disposition=i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nografias.ufop.br/handle/35400000/2128" TargetMode="External"/><Relationship Id="rId10" Type="http://schemas.openxmlformats.org/officeDocument/2006/relationships/hyperlink" Target="http://www.planalto.gov.br/ccivil_03/constituicao/constituicao.htm" TargetMode="External"/><Relationship Id="rId19" Type="http://schemas.openxmlformats.org/officeDocument/2006/relationships/hyperlink" Target="https://mst.org.br/2019/11/22/tres-projetos-no-senado-avancam-sobre-a-legislacao-fundiaria-brasilei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4504.htm" TargetMode="External"/><Relationship Id="rId14" Type="http://schemas.openxmlformats.org/officeDocument/2006/relationships/hyperlink" Target="https://valor.globo.com/agronegocios/noticia/2020/05/11/desigualdade-da-distribuicao-de-terras-no-pais-e-uma-das-mais-altas-do-mundo.g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ivulgacandcontas.tse.jus.br/candidaturas/oficial/2018/BR/BR/2022802018/280000614517/proposta_1534284632231.pdf" TargetMode="External"/><Relationship Id="rId1" Type="http://schemas.openxmlformats.org/officeDocument/2006/relationships/hyperlink" Target="https://www.fundacaoulysses.org.br/wp-content/uploads/2016/11/UMA-PONTE-PARA-O-FUTURO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2C54-F04F-C341-8873-7037F167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5743</Words>
  <Characters>32740</Characters>
  <Application>Microsoft Office Word</Application>
  <DocSecurity>0</DocSecurity>
  <Lines>272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Fernanda Dusse</cp:lastModifiedBy>
  <cp:revision>2</cp:revision>
  <dcterms:created xsi:type="dcterms:W3CDTF">2020-05-15T20:16:00Z</dcterms:created>
  <dcterms:modified xsi:type="dcterms:W3CDTF">2020-05-15T20:16:00Z</dcterms:modified>
</cp:coreProperties>
</file>