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Capítulo 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 Por que o Townsend considera o Foursquare tão rizomático (similar à semiretícula que o Christopher Alexander defende como estrutura mais interessante para as cidades)? → Talvez tenha muito a ver com o momento, pois era uma plataforma aberta e foi um dos primeiros aplicativos a se conectar com a cidade diretamente por meio de um dispositivo móvel, com as várias “camadas” de colaborações individuais constituindo essas sobreposições. Era muito mais aberto para colaboração na época do que hoje é possível com a maior parte das plataformas.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 ITP (Interactive Telecommunication Program - NYU): </w:t>
      </w:r>
      <w:hyperlink r:id="rId6">
        <w:r w:rsidDel="00000000" w:rsidR="00000000" w:rsidRPr="00000000">
          <w:rPr>
            <w:color w:val="1155cc"/>
            <w:u w:val="single"/>
            <w:rtl w:val="0"/>
          </w:rPr>
          <w:t xml:space="preserve">https://tisch.nyu.edu/itp</w:t>
        </w:r>
      </w:hyperlink>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 O Townsend fala da Web como uma semiretícula, mas hoje talvez a Web esteja cada vez mais “árvore”, controlada por grandes grupos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 Questão das “recomendações prescritivas” → Como esse tipo de ferramenta pode induzir uma experiência prescritiva do espaço urbano?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 Sociabilidade: usar a internet para sair da internet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 Ambiguidade dos sistemas de compartilhamento baseados na “confiança”: por um lado as avaliações garantem a credibilidade e o bom funcionamento do sistema, por outro exercem um controle descomunal sobre as pessoas e estimulam a precarização (ex Uber).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 Discussão interessante sobre o espaço construído e a ausência de necessidade de se “construir mais”. Em tese, todos os “edifícios” necessários para abrigar as estruturas de que precisamos já estariam construídos, eles só precisariam de ser utilizados  mais intensamente e/ou modificados em termos de infraestrutura. (Relação com o debate sobre habitação: mais edifícios vazios do que déficit habitacional).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 Questão da escala. Como ampliar e conquistar escala com tecnologias “grass roots”? Muitas propostas funcionam bem na escala micro, mas têm problema em ampliar o alcance: “City leaders have real problems to solve right now—global warming, decaying infrastructure, and overburdened public services. They don’t have time to play with Arduino. They need the might of sustained industrial engineering applied to replumb entire cities over the span of a decade.” Townsend, Anthony M.. Smart Cities: Big Data, Civic Hackers, and the Quest for a New Utopia (Kindle Locations 2729-2731). W. W. Norton &amp; Company. Kindle Edition.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 Para semana que vem, tentar fazer uma sessão de “conclusão” sobre o livro, para partirmos para outras investigações ano que vem. Rever lista de tópicos para o ano que vem.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Capítulo 6:</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isch.nyu.edu/i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