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ARTIGO SIGRADI - </w:t>
      </w:r>
      <w:r w:rsidDel="00000000" w:rsidR="00000000" w:rsidRPr="00000000">
        <w:rPr>
          <w:b w:val="1"/>
          <w:sz w:val="19"/>
          <w:szCs w:val="19"/>
          <w:rtl w:val="0"/>
        </w:rPr>
        <w:t xml:space="preserve">IndAtlas - Plataforma Tecnopolítica de Investigação Urbana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lineRule="auto"/>
        <w:rPr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datas/ cronograma</w:t>
      </w:r>
      <w:r w:rsidDel="00000000" w:rsidR="00000000" w:rsidRPr="00000000">
        <w:rPr>
          <w:sz w:val="19"/>
          <w:szCs w:val="19"/>
          <w:rtl w:val="0"/>
        </w:rPr>
        <w:t xml:space="preserve">:</w:t>
      </w:r>
    </w:p>
    <w:p w:rsidR="00000000" w:rsidDel="00000000" w:rsidP="00000000" w:rsidRDefault="00000000" w:rsidRPr="00000000" w14:paraId="00000004">
      <w:pPr>
        <w:spacing w:after="28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lineRule="auto"/>
        <w:rPr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template/ formato/ número de palavras</w:t>
      </w:r>
      <w:r w:rsidDel="00000000" w:rsidR="00000000" w:rsidRPr="00000000">
        <w:rPr>
          <w:sz w:val="19"/>
          <w:szCs w:val="19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after="28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lineRule="auto"/>
        <w:rPr>
          <w:color w:val="1155cc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lineRule="auto"/>
        <w:rPr>
          <w:color w:val="1155cc"/>
          <w:sz w:val="19"/>
          <w:szCs w:val="19"/>
        </w:rPr>
      </w:pPr>
      <w:r w:rsidDel="00000000" w:rsidR="00000000" w:rsidRPr="00000000">
        <w:rPr>
          <w:color w:val="1155cc"/>
          <w:sz w:val="19"/>
          <w:szCs w:val="19"/>
          <w:rtl w:val="0"/>
        </w:rPr>
        <w:t xml:space="preserve">OBSERVAÇÕES DO CONSELHO EDITORIAL:</w:t>
      </w:r>
    </w:p>
    <w:p w:rsidR="00000000" w:rsidDel="00000000" w:rsidP="00000000" w:rsidRDefault="00000000" w:rsidRPr="00000000" w14:paraId="00000009">
      <w:pPr>
        <w:spacing w:after="280" w:lineRule="auto"/>
        <w:rPr>
          <w:color w:val="0000ff"/>
          <w:sz w:val="19"/>
          <w:szCs w:val="19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ff"/>
          <w:sz w:val="19"/>
          <w:szCs w:val="19"/>
          <w:highlight w:val="white"/>
          <w:rtl w:val="0"/>
        </w:rPr>
        <w:t xml:space="preserve">→ Recomenda-se esclarecer se o IndAtlas é uma ferramenta em sí (codificação e interface própria) ou se é um método de coleta e análise que faz uso de ferramentas já existentes. O texto sugere que seja o segundo caso, o que leva a sugerir o enquadramento do conceito de MashUp, em termos de linguagem de programação. Além disso, como a excelente bibliografia apontada sugere, recomenda-se a inserção do conceito de VGI no próprio resumo, tendo em que vista que a colaboração, ou co-cartografias, norteiam o método ora em desenvolvimento. Para os resultados, espera-se com muito interesse que as discussões acerca dos limites e possibilidade do trabalho, como  colocados como resultados, sejam profundamente abordados. Tais desafios são hoje de grande interesse da comunidade cartográfica, especialmente aqueles envolvidos no paradigma do Big Data. </w:t>
      </w:r>
    </w:p>
    <w:p w:rsidR="00000000" w:rsidDel="00000000" w:rsidP="00000000" w:rsidRDefault="00000000" w:rsidRPr="00000000" w14:paraId="0000000A">
      <w:pPr>
        <w:spacing w:after="280" w:lineRule="auto"/>
        <w:rPr>
          <w:color w:val="0000ff"/>
          <w:sz w:val="19"/>
          <w:szCs w:val="19"/>
          <w:highlight w:val="white"/>
        </w:rPr>
      </w:pPr>
      <w:r w:rsidDel="00000000" w:rsidR="00000000" w:rsidRPr="00000000">
        <w:rPr>
          <w:color w:val="0000ff"/>
          <w:sz w:val="19"/>
          <w:szCs w:val="19"/>
          <w:highlight w:val="white"/>
          <w:rtl w:val="0"/>
        </w:rPr>
        <w:t xml:space="preserve">Excelente artigo.</w:t>
      </w:r>
    </w:p>
    <w:p w:rsidR="00000000" w:rsidDel="00000000" w:rsidP="00000000" w:rsidRDefault="00000000" w:rsidRPr="00000000" w14:paraId="0000000B">
      <w:pPr>
        <w:spacing w:after="280" w:lineRule="auto"/>
        <w:rPr>
          <w:sz w:val="19"/>
          <w:szCs w:val="19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ff"/>
          <w:sz w:val="19"/>
          <w:szCs w:val="19"/>
          <w:highlight w:val="white"/>
          <w:rtl w:val="0"/>
        </w:rPr>
        <w:t xml:space="preserve">→ Conceituar e problematizar as formas ativa e passiva de produção de informações.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Autores: Ana Isabel de Sá, Michele Brito, Jéssica Borges, Natacha Rena</w:t>
      </w:r>
    </w:p>
    <w:p w:rsidR="00000000" w:rsidDel="00000000" w:rsidP="00000000" w:rsidRDefault="00000000" w:rsidRPr="00000000" w14:paraId="0000000D">
      <w:pPr>
        <w:spacing w:after="280" w:lineRule="auto"/>
        <w:rPr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IndAtlas - Plataforma Tecnopolítica de Investigação Urbana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crowdsourcing, participação cidadã, tecnologia social</w:t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Introdução</w:t>
      </w:r>
    </w:p>
    <w:p w:rsidR="00000000" w:rsidDel="00000000" w:rsidP="00000000" w:rsidRDefault="00000000" w:rsidRPr="00000000" w14:paraId="00000011">
      <w:pPr>
        <w:spacing w:after="0" w:line="240" w:lineRule="auto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Uma das vertentes de tecnologias sociais são as aplicações de </w:t>
      </w:r>
      <w:r w:rsidDel="00000000" w:rsidR="00000000" w:rsidRPr="00000000">
        <w:rPr>
          <w:i w:val="1"/>
          <w:sz w:val="19"/>
          <w:szCs w:val="19"/>
          <w:rtl w:val="0"/>
        </w:rPr>
        <w:t xml:space="preserve">crowdsourcing</w:t>
      </w:r>
      <w:r w:rsidDel="00000000" w:rsidR="00000000" w:rsidRPr="00000000">
        <w:rPr>
          <w:sz w:val="19"/>
          <w:szCs w:val="19"/>
          <w:rtl w:val="0"/>
        </w:rPr>
        <w:t xml:space="preserve">, em que usuários se engajam na produção de informações de forma ativa ou passiva (MATEVELI, </w:t>
      </w:r>
      <w:r w:rsidDel="00000000" w:rsidR="00000000" w:rsidRPr="00000000">
        <w:rPr>
          <w:i w:val="1"/>
          <w:sz w:val="19"/>
          <w:szCs w:val="19"/>
          <w:rtl w:val="0"/>
        </w:rPr>
        <w:t xml:space="preserve">et al.</w:t>
      </w:r>
      <w:r w:rsidDel="00000000" w:rsidR="00000000" w:rsidRPr="00000000">
        <w:rPr>
          <w:sz w:val="19"/>
          <w:szCs w:val="19"/>
          <w:rtl w:val="0"/>
        </w:rPr>
        <w:t xml:space="preserve">), as quais podem ser utilizadas para gerar informações que beneficiam uma comunidade em questões de disputas urbanas – tendo, portanto, um caráter público participativo. Nesse sentido, o presente trabalho propõe apresentar a plataforma digital de crowdsourcing IndAtlas em desenvolvimento pelo grupo de pesquisa Indisciplinar. Pretende-se focar nos resultados do </w:t>
      </w:r>
      <w:r w:rsidDel="00000000" w:rsidR="00000000" w:rsidRPr="00000000">
        <w:rPr>
          <w:i w:val="1"/>
          <w:sz w:val="19"/>
          <w:szCs w:val="19"/>
          <w:rtl w:val="0"/>
        </w:rPr>
        <w:t xml:space="preserve">workshop</w:t>
      </w:r>
      <w:r w:rsidDel="00000000" w:rsidR="00000000" w:rsidRPr="00000000">
        <w:rPr>
          <w:sz w:val="19"/>
          <w:szCs w:val="19"/>
          <w:rtl w:val="0"/>
        </w:rPr>
        <w:t xml:space="preserve"> ministrado pelo grupo de pesquisa no evento Cidade Eletrônika de 2018, quando o protótipo da ferramenta foi utilizado para a coleta e visualização de informações históricas e sociais do bairro Santa Tereza, em Belo Horizonte, atualmente um território de disputa entre movimentos locais e mercado imobiliário em risco de descaracterização devida a mudanças na legislação urbana vigente.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color w:val="ff0000"/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19"/>
          <w:szCs w:val="19"/>
          <w:rtl w:val="0"/>
        </w:rPr>
        <w:t xml:space="preserve">→ Apresentar descrição breve da plataforma e do workshop (ressaltar que a análise será feita a partir da experiência do workshop, para diferenciar do artigo da revista de Geodesign). Resumir o que foi produzido para o artigo da revista de Geodesign combinando aspectos técnicos e conceituais.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="240" w:lineRule="auto"/>
        <w:ind w:left="2160" w:hanging="360"/>
        <w:jc w:val="both"/>
        <w:rPr>
          <w:color w:val="ff0000"/>
          <w:sz w:val="19"/>
          <w:szCs w:val="19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19"/>
          <w:szCs w:val="19"/>
          <w:rtl w:val="0"/>
        </w:rPr>
        <w:t xml:space="preserve">Método Indisciplinar (sem abordar histórico detalhado) → BEL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="240" w:lineRule="auto"/>
        <w:ind w:left="2160" w:hanging="360"/>
        <w:jc w:val="both"/>
        <w:rPr>
          <w:color w:val="ff0000"/>
          <w:sz w:val="19"/>
          <w:szCs w:val="19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19"/>
          <w:szCs w:val="19"/>
          <w:rtl w:val="0"/>
        </w:rPr>
        <w:t xml:space="preserve">Eixos de análise da plataforma → BEL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="240" w:lineRule="auto"/>
        <w:ind w:left="2160" w:hanging="360"/>
        <w:jc w:val="both"/>
        <w:rPr>
          <w:color w:val="ff0000"/>
          <w:sz w:val="19"/>
          <w:szCs w:val="19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19"/>
          <w:szCs w:val="19"/>
          <w:rtl w:val="0"/>
        </w:rPr>
        <w:t xml:space="preserve">Modelo conceitual e arquitetura da plataforma → MICHELE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color w:val="ff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color w:val="ff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color w:val="ff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Metodologia</w:t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color w:val="ff0000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19"/>
          <w:szCs w:val="19"/>
          <w:rtl w:val="0"/>
        </w:rPr>
        <w:t xml:space="preserve">→ Relatar os métodos e ferramentas utilizados no workshop de Santa Tereza e, posteriormente, em sua análise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line="240" w:lineRule="auto"/>
        <w:ind w:left="1440" w:hanging="360"/>
        <w:rPr>
          <w:color w:val="ff0000"/>
          <w:sz w:val="19"/>
          <w:szCs w:val="19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19"/>
          <w:szCs w:val="19"/>
          <w:rtl w:val="0"/>
        </w:rPr>
        <w:t xml:space="preserve">Apresentar protótipo de testes utilizado no workshop, detalhando sua interface de visualização e as planilhas de preenchimento dos dados. Explicar como o preenchimento alimenta cada componente explicado no item anterior e → MICHELE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line="240" w:lineRule="auto"/>
        <w:ind w:left="1440" w:hanging="360"/>
        <w:rPr>
          <w:color w:val="ff0000"/>
          <w:sz w:val="19"/>
          <w:szCs w:val="19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19"/>
          <w:szCs w:val="19"/>
          <w:rtl w:val="0"/>
        </w:rPr>
        <w:t xml:space="preserve">Relatar procedimentos adotados no workshop, articulação com mapas e linhas do tempo “analógicos”, perfil dos alunos, divisão por temas etc. → BEL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line="240" w:lineRule="auto"/>
        <w:ind w:left="1440" w:hanging="360"/>
        <w:rPr>
          <w:color w:val="ff0000"/>
          <w:sz w:val="19"/>
          <w:szCs w:val="19"/>
          <w:u w:val="none"/>
        </w:rPr>
      </w:pPr>
      <w:r w:rsidDel="00000000" w:rsidR="00000000" w:rsidRPr="00000000">
        <w:rPr>
          <w:color w:val="ff0000"/>
          <w:sz w:val="19"/>
          <w:szCs w:val="19"/>
          <w:rtl w:val="0"/>
        </w:rPr>
        <w:t xml:space="preserve">Apresentar formulário com questões a ser enviado aos alunos da oficina</w:t>
      </w:r>
    </w:p>
    <w:p w:rsidR="00000000" w:rsidDel="00000000" w:rsidP="00000000" w:rsidRDefault="00000000" w:rsidRPr="00000000" w14:paraId="00000021">
      <w:pPr>
        <w:spacing w:after="0" w:line="24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19"/>
          <w:szCs w:val="19"/>
          <w:rtl w:val="0"/>
        </w:rPr>
        <w:t xml:space="preserve">O projeto de plataforma a ser apresentado é </w:t>
      </w:r>
      <w:r w:rsidDel="00000000" w:rsidR="00000000" w:rsidRPr="00000000">
        <w:rPr>
          <w:sz w:val="20"/>
          <w:szCs w:val="20"/>
          <w:rtl w:val="0"/>
        </w:rPr>
        <w:t xml:space="preserve">baseado em demandas resultantes da investigação do método de trabalho do grupo (Author </w:t>
      </w:r>
      <w:r w:rsidDel="00000000" w:rsidR="00000000" w:rsidRPr="00000000">
        <w:rPr>
          <w:i w:val="1"/>
          <w:sz w:val="20"/>
          <w:szCs w:val="20"/>
          <w:rtl w:val="0"/>
        </w:rPr>
        <w:t xml:space="preserve">et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al</w:t>
      </w:r>
      <w:r w:rsidDel="00000000" w:rsidR="00000000" w:rsidRPr="00000000">
        <w:rPr>
          <w:sz w:val="20"/>
          <w:szCs w:val="20"/>
          <w:rtl w:val="0"/>
        </w:rPr>
        <w:t xml:space="preserve">., 2016), tendo como objetivo otimizar a integração e a retroalimentação entre as diferentes ferramentas tecnopolíticas utilizadas pelo grupo, compostas essencialmente por: a) mapas colaborativos georreferenciados (sendo a plataforma de </w:t>
      </w:r>
      <w:r w:rsidDel="00000000" w:rsidR="00000000" w:rsidRPr="00000000">
        <w:rPr>
          <w:i w:val="1"/>
          <w:sz w:val="20"/>
          <w:szCs w:val="20"/>
          <w:rtl w:val="0"/>
        </w:rPr>
        <w:t xml:space="preserve">crowdsourcing</w:t>
      </w:r>
      <w:r w:rsidDel="00000000" w:rsidR="00000000" w:rsidRPr="00000000">
        <w:rPr>
          <w:sz w:val="20"/>
          <w:szCs w:val="20"/>
          <w:rtl w:val="0"/>
        </w:rPr>
        <w:t xml:space="preserve"> Crowdmap/Ushahidi a escolha adotada com maior frequência); b) páginas Wiki; c) componentes de redes sociais (fanpage no Facebook, Twitter etc.); d) produção de linhas do tempo, infográficos e cartilhas. 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Por um lado, a utilização dessas diferentes interfaces tem proporcionado ao grupo o desenvolvimento de um método de trabalho capaz de abordar seus objetos de análise sob os aspectos territorial, temporal e conceitual, sempre buscando o maior nível possível de interação e comunicação em rede com os atores articulados em cada processo. A adoção de múltiplos canais e a ausência de conectividade entre alguns deles, no entanto, tem imposto desafios como trabalho duplicado, perda de informações e dispersão de dados, justificando o desejo de integração dessas funcionalidades em uma única plataforma de </w:t>
      </w:r>
      <w:r w:rsidDel="00000000" w:rsidR="00000000" w:rsidRPr="00000000">
        <w:rPr>
          <w:i w:val="1"/>
          <w:sz w:val="20"/>
          <w:szCs w:val="20"/>
          <w:rtl w:val="0"/>
        </w:rPr>
        <w:t xml:space="preserve">crowdsourcing</w:t>
      </w:r>
      <w:r w:rsidDel="00000000" w:rsidR="00000000" w:rsidRPr="00000000">
        <w:rPr>
          <w:sz w:val="20"/>
          <w:szCs w:val="20"/>
          <w:rtl w:val="0"/>
        </w:rPr>
        <w:t xml:space="preserve"> de código aberto </w:t>
      </w:r>
      <w:r w:rsidDel="00000000" w:rsidR="00000000" w:rsidRPr="00000000">
        <w:rPr>
          <w:sz w:val="20"/>
          <w:szCs w:val="20"/>
          <w:rtl w:val="0"/>
        </w:rPr>
        <w:t xml:space="preserve">Basicamente, o estudo apresenta o atual estado de desenvolvimento do projeto, que pode ser dividido na modelagem e no desenvolvimento de um protótipo e na sua aplicação durante o </w:t>
      </w:r>
      <w:r w:rsidDel="00000000" w:rsidR="00000000" w:rsidRPr="00000000">
        <w:rPr>
          <w:i w:val="1"/>
          <w:sz w:val="20"/>
          <w:szCs w:val="20"/>
          <w:rtl w:val="0"/>
        </w:rPr>
        <w:t xml:space="preserve">workshop</w:t>
      </w:r>
      <w:r w:rsidDel="00000000" w:rsidR="00000000" w:rsidRPr="00000000">
        <w:rPr>
          <w:sz w:val="20"/>
          <w:szCs w:val="20"/>
          <w:rtl w:val="0"/>
        </w:rPr>
        <w:t xml:space="preserve"> no processo de coleta de dados</w:t>
      </w:r>
      <w:r w:rsidDel="00000000" w:rsidR="00000000" w:rsidRPr="00000000">
        <w:rPr>
          <w:sz w:val="19"/>
          <w:szCs w:val="19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80" w:lineRule="auto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Resultados</w:t>
      </w:r>
    </w:p>
    <w:p w:rsidR="00000000" w:rsidDel="00000000" w:rsidP="00000000" w:rsidRDefault="00000000" w:rsidRPr="00000000" w14:paraId="00000027">
      <w:pPr>
        <w:spacing w:after="28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De modo geral, propõe-se apresentar os resultados do desenvolvimento do protótipo da ferramenta até o momento, focando em: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lineRule="auto"/>
        <w:ind w:left="72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Resultados s</w:t>
      </w:r>
      <w:r w:rsidDel="00000000" w:rsidR="00000000" w:rsidRPr="00000000">
        <w:rPr>
          <w:sz w:val="19"/>
          <w:szCs w:val="19"/>
          <w:rtl w:val="0"/>
        </w:rPr>
        <w:t xml:space="preserve">obre o método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lineRule="auto"/>
        <w:ind w:left="72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Resultados sobre a usabilidade da ferramenta, segundo os usuários testados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80" w:lineRule="auto"/>
        <w:ind w:left="72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Resultados sobre a integração e utilidade dos dados coletados</w:t>
      </w:r>
    </w:p>
    <w:p w:rsidR="00000000" w:rsidDel="00000000" w:rsidP="00000000" w:rsidRDefault="00000000" w:rsidRPr="00000000" w14:paraId="0000002B">
      <w:pPr>
        <w:spacing w:after="280" w:lineRule="auto"/>
        <w:rPr>
          <w:color w:val="ff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80" w:lineRule="auto"/>
        <w:ind w:firstLine="720"/>
        <w:rPr>
          <w:color w:val="ff0000"/>
          <w:sz w:val="19"/>
          <w:szCs w:val="19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19"/>
          <w:szCs w:val="19"/>
          <w:rtl w:val="0"/>
        </w:rPr>
        <w:t xml:space="preserve">→ Apresentar resultados do workshop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lineRule="auto"/>
        <w:ind w:left="2160" w:hanging="360"/>
        <w:rPr>
          <w:color w:val="ff0000"/>
          <w:sz w:val="19"/>
          <w:szCs w:val="19"/>
        </w:rPr>
      </w:pPr>
      <w:r w:rsidDel="00000000" w:rsidR="00000000" w:rsidRPr="00000000">
        <w:rPr>
          <w:color w:val="ff0000"/>
          <w:sz w:val="19"/>
          <w:szCs w:val="19"/>
          <w:rtl w:val="0"/>
        </w:rPr>
        <w:t xml:space="preserve">Apresentar e analisar respostas dos questionários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lineRule="auto"/>
        <w:ind w:left="2160" w:hanging="360"/>
        <w:rPr>
          <w:color w:val="ff0000"/>
          <w:sz w:val="19"/>
          <w:szCs w:val="19"/>
          <w:u w:val="none"/>
        </w:rPr>
      </w:pPr>
      <w:r w:rsidDel="00000000" w:rsidR="00000000" w:rsidRPr="00000000">
        <w:rPr>
          <w:color w:val="ff0000"/>
          <w:sz w:val="19"/>
          <w:szCs w:val="19"/>
          <w:rtl w:val="0"/>
        </w:rPr>
        <w:t xml:space="preserve">Fazer uma análise mais detalhada que foi feita para o arquivo da revista de Geodesign do conteúdo inserido na plataforma no workshop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80" w:lineRule="auto"/>
        <w:ind w:left="2160" w:hanging="360"/>
        <w:rPr>
          <w:color w:val="ff0000"/>
          <w:sz w:val="19"/>
          <w:szCs w:val="19"/>
          <w:u w:val="none"/>
        </w:rPr>
      </w:pPr>
      <w:r w:rsidDel="00000000" w:rsidR="00000000" w:rsidRPr="00000000">
        <w:rPr>
          <w:color w:val="ff0000"/>
          <w:sz w:val="19"/>
          <w:szCs w:val="19"/>
          <w:rtl w:val="0"/>
        </w:rPr>
        <w:t xml:space="preserve">Falar sobre aplicação na pesquisa Territórios Populares e próximos passos</w:t>
      </w:r>
    </w:p>
    <w:p w:rsidR="00000000" w:rsidDel="00000000" w:rsidP="00000000" w:rsidRDefault="00000000" w:rsidRPr="00000000" w14:paraId="00000030">
      <w:pPr>
        <w:spacing w:after="280" w:lineRule="auto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Discussão</w:t>
      </w:r>
    </w:p>
    <w:p w:rsidR="00000000" w:rsidDel="00000000" w:rsidP="00000000" w:rsidRDefault="00000000" w:rsidRPr="00000000" w14:paraId="00000031">
      <w:pPr>
        <w:spacing w:after="28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Propõe-se discutir sobre a adequação tanto do método utilizado quanto da ferramenta proposta aos objetivos propostos. Pretende-se debater acerca das potencialidades e limitações das ferramentas de </w:t>
      </w:r>
      <w:r w:rsidDel="00000000" w:rsidR="00000000" w:rsidRPr="00000000">
        <w:rPr>
          <w:i w:val="1"/>
          <w:sz w:val="19"/>
          <w:szCs w:val="19"/>
          <w:rtl w:val="0"/>
        </w:rPr>
        <w:t xml:space="preserve">crowdsourcing</w:t>
      </w:r>
      <w:r w:rsidDel="00000000" w:rsidR="00000000" w:rsidRPr="00000000">
        <w:rPr>
          <w:sz w:val="19"/>
          <w:szCs w:val="19"/>
          <w:rtl w:val="0"/>
        </w:rPr>
        <w:t xml:space="preserve"> de modo geral, e da IndAtlas especificamente para a investigação e baseada em dados cidadãos e para a tomada de opinião/decisão coletiva acerca da transformação do espaço urbano.</w:t>
      </w:r>
    </w:p>
    <w:p w:rsidR="00000000" w:rsidDel="00000000" w:rsidP="00000000" w:rsidRDefault="00000000" w:rsidRPr="00000000" w14:paraId="00000032">
      <w:pPr>
        <w:spacing w:after="280" w:lineRule="auto"/>
        <w:rPr>
          <w:color w:val="ff0000"/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19"/>
          <w:szCs w:val="19"/>
          <w:rtl w:val="0"/>
        </w:rPr>
        <w:t xml:space="preserve">→ Fazer a discussão dos resultados e proposta de evolução da plataforma. Situar na discussão mais ampla sobre crowdsourcing em geral.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80" w:lineRule="auto"/>
        <w:jc w:val="both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Referências</w:t>
      </w:r>
    </w:p>
    <w:p w:rsidR="00000000" w:rsidDel="00000000" w:rsidP="00000000" w:rsidRDefault="00000000" w:rsidRPr="00000000" w14:paraId="00000034">
      <w:pPr>
        <w:spacing w:after="280" w:lineRule="auto"/>
        <w:jc w:val="both"/>
        <w:rPr>
          <w:sz w:val="19"/>
          <w:szCs w:val="19"/>
        </w:rPr>
      </w:pPr>
      <w:hyperlink r:id="rId6">
        <w:r w:rsidDel="00000000" w:rsidR="00000000" w:rsidRPr="00000000">
          <w:rPr>
            <w:b w:val="1"/>
            <w:color w:val="1155cc"/>
            <w:sz w:val="19"/>
            <w:szCs w:val="19"/>
            <w:u w:val="single"/>
            <w:rtl w:val="0"/>
          </w:rPr>
          <w:t xml:space="preserve">MATEVELI, G. V.</w:t>
        </w:r>
      </w:hyperlink>
      <w:r w:rsidDel="00000000" w:rsidR="00000000" w:rsidRPr="00000000">
        <w:rPr>
          <w:sz w:val="19"/>
          <w:szCs w:val="19"/>
          <w:rtl w:val="0"/>
        </w:rPr>
        <w:t xml:space="preserve">;</w:t>
      </w:r>
      <w:hyperlink r:id="rId7">
        <w:r w:rsidDel="00000000" w:rsidR="00000000" w:rsidRPr="00000000">
          <w:rPr>
            <w:sz w:val="19"/>
            <w:szCs w:val="19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sz w:val="19"/>
            <w:szCs w:val="19"/>
            <w:u w:val="single"/>
            <w:rtl w:val="0"/>
          </w:rPr>
          <w:t xml:space="preserve">MACHADO, N. G.</w:t>
        </w:r>
      </w:hyperlink>
      <w:r w:rsidDel="00000000" w:rsidR="00000000" w:rsidRPr="00000000">
        <w:rPr>
          <w:sz w:val="19"/>
          <w:szCs w:val="19"/>
          <w:rtl w:val="0"/>
        </w:rPr>
        <w:t xml:space="preserve"> ;</w:t>
      </w:r>
      <w:hyperlink r:id="rId9">
        <w:r w:rsidDel="00000000" w:rsidR="00000000" w:rsidRPr="00000000">
          <w:rPr>
            <w:sz w:val="19"/>
            <w:szCs w:val="19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sz w:val="19"/>
            <w:szCs w:val="19"/>
            <w:u w:val="single"/>
            <w:rtl w:val="0"/>
          </w:rPr>
          <w:t xml:space="preserve">MORO, M. M.</w:t>
        </w:r>
      </w:hyperlink>
      <w:r w:rsidDel="00000000" w:rsidR="00000000" w:rsidRPr="00000000">
        <w:rPr>
          <w:sz w:val="19"/>
          <w:szCs w:val="19"/>
          <w:rtl w:val="0"/>
        </w:rPr>
        <w:t xml:space="preserve"> ;</w:t>
      </w:r>
      <w:hyperlink r:id="rId11">
        <w:r w:rsidDel="00000000" w:rsidR="00000000" w:rsidRPr="00000000">
          <w:rPr>
            <w:sz w:val="19"/>
            <w:szCs w:val="19"/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sz w:val="19"/>
            <w:szCs w:val="19"/>
            <w:u w:val="single"/>
            <w:rtl w:val="0"/>
          </w:rPr>
          <w:t xml:space="preserve">DAVIS JR., C. A.</w:t>
        </w:r>
      </w:hyperlink>
      <w:r w:rsidDel="00000000" w:rsidR="00000000" w:rsidRPr="00000000">
        <w:rPr>
          <w:sz w:val="19"/>
          <w:szCs w:val="19"/>
          <w:rtl w:val="0"/>
        </w:rPr>
        <w:t xml:space="preserve"> . </w:t>
      </w:r>
      <w:r w:rsidDel="00000000" w:rsidR="00000000" w:rsidRPr="00000000">
        <w:rPr>
          <w:i w:val="1"/>
          <w:sz w:val="19"/>
          <w:szCs w:val="19"/>
          <w:rtl w:val="0"/>
        </w:rPr>
        <w:t xml:space="preserve">Desafios de recomendação para coleta de dados geográficos por cidadãos</w:t>
      </w:r>
      <w:r w:rsidDel="00000000" w:rsidR="00000000" w:rsidRPr="00000000">
        <w:rPr>
          <w:sz w:val="19"/>
          <w:szCs w:val="19"/>
          <w:rtl w:val="0"/>
        </w:rPr>
        <w:t xml:space="preserve">. In: XXX Simpósio Brasileiro de Banco de Dados, 2015, Petrópolis, Rio de Janeiro. Anais do Simpósio Brasileiro de Banco de Dados, 2015. </w:t>
      </w:r>
    </w:p>
    <w:p w:rsidR="00000000" w:rsidDel="00000000" w:rsidP="00000000" w:rsidRDefault="00000000" w:rsidRPr="00000000" w14:paraId="00000035">
      <w:pPr>
        <w:spacing w:after="280" w:lineRule="auto"/>
        <w:jc w:val="both"/>
        <w:rPr>
          <w:sz w:val="19"/>
          <w:szCs w:val="19"/>
        </w:rPr>
      </w:pPr>
      <w:r w:rsidDel="00000000" w:rsidR="00000000" w:rsidRPr="00000000">
        <w:rPr>
          <w:sz w:val="20"/>
          <w:szCs w:val="20"/>
          <w:rtl w:val="0"/>
        </w:rPr>
        <w:t xml:space="preserve">Author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et al. Grupo de Pesquisa Indisciplinar</w:t>
      </w:r>
      <w:r w:rsidDel="00000000" w:rsidR="00000000" w:rsidRPr="00000000">
        <w:rPr>
          <w:sz w:val="20"/>
          <w:szCs w:val="20"/>
          <w:rtl w:val="0"/>
        </w:rPr>
        <w:t xml:space="preserve">: método, ativismo e tecnopolítica na defesa dos bens comuns urbanos. Madrid: Congreso Internacional Contested_Cities, eje 5: alternativas urbanas, 2016. Disponível em: &lt;http://contested-cities.net/working-papers/2016/grupo-de-pesquisa-indisciplinar-metodo-ativismo-e-tecnopolitica-na-defesa-dos-bens-comuns-urbanos/&gt;. Acesso em: 24 mar. 2018.</w:t>
      </w:r>
      <w:r w:rsidDel="00000000" w:rsidR="00000000" w:rsidRPr="00000000">
        <w:rPr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280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SUI; ELWOOD; GOODCHILD. </w:t>
      </w:r>
      <w:r w:rsidDel="00000000" w:rsidR="00000000" w:rsidRPr="00000000">
        <w:rPr>
          <w:i w:val="1"/>
          <w:sz w:val="19"/>
          <w:szCs w:val="19"/>
          <w:rtl w:val="0"/>
        </w:rPr>
        <w:t xml:space="preserve">Crowdsourcing Geographic Knowledge</w:t>
      </w:r>
      <w:r w:rsidDel="00000000" w:rsidR="00000000" w:rsidRPr="00000000">
        <w:rPr>
          <w:sz w:val="19"/>
          <w:szCs w:val="19"/>
          <w:rtl w:val="0"/>
        </w:rPr>
        <w:t xml:space="preserve">: volunteered Geographic Information (VGI) in Theory and Practice. Dordrecht: Springer Netherlands, 2013.</w:t>
      </w:r>
    </w:p>
    <w:p w:rsidR="00000000" w:rsidDel="00000000" w:rsidP="00000000" w:rsidRDefault="00000000" w:rsidRPr="00000000" w14:paraId="00000037">
      <w:pPr>
        <w:spacing w:after="280" w:lineRule="auto"/>
        <w:jc w:val="both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80" w:lineRule="auto"/>
        <w:jc w:val="both"/>
        <w:rPr>
          <w:sz w:val="19"/>
          <w:szCs w:val="19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lattes.cnpq.br/0471595469074043" TargetMode="External"/><Relationship Id="rId10" Type="http://schemas.openxmlformats.org/officeDocument/2006/relationships/hyperlink" Target="http://lattes.cnpq.br/6408321790990372" TargetMode="External"/><Relationship Id="rId12" Type="http://schemas.openxmlformats.org/officeDocument/2006/relationships/hyperlink" Target="http://lattes.cnpq.br/0471595469074043" TargetMode="External"/><Relationship Id="rId9" Type="http://schemas.openxmlformats.org/officeDocument/2006/relationships/hyperlink" Target="http://lattes.cnpq.br/6408321790990372" TargetMode="External"/><Relationship Id="rId5" Type="http://schemas.openxmlformats.org/officeDocument/2006/relationships/styles" Target="styles.xml"/><Relationship Id="rId6" Type="http://schemas.openxmlformats.org/officeDocument/2006/relationships/hyperlink" Target="http://lattes.cnpq.br/9258765162182336" TargetMode="External"/><Relationship Id="rId7" Type="http://schemas.openxmlformats.org/officeDocument/2006/relationships/hyperlink" Target="http://lattes.cnpq.br/7770953339948059" TargetMode="External"/><Relationship Id="rId8" Type="http://schemas.openxmlformats.org/officeDocument/2006/relationships/hyperlink" Target="http://lattes.cnpq.br/7770953339948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