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Autores: Ana Isabel de Sá, Michele Brito, Jéssica Borges, Natacha Rena</w:t>
      </w:r>
    </w:p>
    <w:p w:rsidR="00000000" w:rsidDel="00000000" w:rsidP="00000000" w:rsidRDefault="00000000" w:rsidRPr="00000000" w14:paraId="00000002">
      <w:pPr>
        <w:spacing w:after="280" w:lineRule="auto"/>
        <w:rPr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IndAtlas - Plataforma Tecnopolítica de Investigação Urbana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crowdsourcing, participação cidadã, tecnologia social</w:t>
      </w:r>
    </w:p>
    <w:p w:rsidR="00000000" w:rsidDel="00000000" w:rsidP="00000000" w:rsidRDefault="00000000" w:rsidRPr="00000000" w14:paraId="00000004">
      <w:pPr>
        <w:spacing w:after="0" w:line="240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Introdução</w:t>
      </w:r>
    </w:p>
    <w:p w:rsidR="00000000" w:rsidDel="00000000" w:rsidP="00000000" w:rsidRDefault="00000000" w:rsidRPr="00000000" w14:paraId="00000006">
      <w:pPr>
        <w:spacing w:after="0" w:line="240" w:lineRule="auto"/>
        <w:rPr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Uma das vertentes de tecnologias sociais são as aplicações de </w:t>
      </w:r>
      <w:r w:rsidDel="00000000" w:rsidR="00000000" w:rsidRPr="00000000">
        <w:rPr>
          <w:i w:val="1"/>
          <w:sz w:val="19"/>
          <w:szCs w:val="19"/>
          <w:rtl w:val="0"/>
        </w:rPr>
        <w:t xml:space="preserve">crowdsourcing</w:t>
      </w:r>
      <w:r w:rsidDel="00000000" w:rsidR="00000000" w:rsidRPr="00000000">
        <w:rPr>
          <w:sz w:val="19"/>
          <w:szCs w:val="19"/>
          <w:rtl w:val="0"/>
        </w:rPr>
        <w:t xml:space="preserve">, em que usuários se engajam na produção de informações de forma ativa ou passiva (MATEVELI, </w:t>
      </w:r>
      <w:r w:rsidDel="00000000" w:rsidR="00000000" w:rsidRPr="00000000">
        <w:rPr>
          <w:i w:val="1"/>
          <w:sz w:val="19"/>
          <w:szCs w:val="19"/>
          <w:rtl w:val="0"/>
        </w:rPr>
        <w:t xml:space="preserve">et al.</w:t>
      </w:r>
      <w:r w:rsidDel="00000000" w:rsidR="00000000" w:rsidRPr="00000000">
        <w:rPr>
          <w:sz w:val="19"/>
          <w:szCs w:val="19"/>
          <w:rtl w:val="0"/>
        </w:rPr>
        <w:t xml:space="preserve">), as quais podem ser utilizadas para gerar informações que beneficiam uma comunidade em questões de disputas urbanas – tendo, portanto, um caráter público participativo. Nesse sentido, o presente trabalho propõe apresentar a plataforma digital de crowdsourcing IndAtlas em desenvolvimento pelo grupo de pesquisa Indisciplinar. Pretende-se focar nos resultados do </w:t>
      </w:r>
      <w:r w:rsidDel="00000000" w:rsidR="00000000" w:rsidRPr="00000000">
        <w:rPr>
          <w:i w:val="1"/>
          <w:sz w:val="19"/>
          <w:szCs w:val="19"/>
          <w:rtl w:val="0"/>
        </w:rPr>
        <w:t xml:space="preserve">workshop</w:t>
      </w:r>
      <w:r w:rsidDel="00000000" w:rsidR="00000000" w:rsidRPr="00000000">
        <w:rPr>
          <w:sz w:val="19"/>
          <w:szCs w:val="19"/>
          <w:rtl w:val="0"/>
        </w:rPr>
        <w:t xml:space="preserve"> ministrado pelo grupo de pesquisa no evento Cidade Eletrônika de 2018, quando o protótipo da ferramenta foi utilizado para a coleta e visualização de informações históricas e sociais do bairro Santa Tereza, em Belo Horizonte, atualmente um território de disputa entre movimentos locais e mercado imobiliário em risco de descaracterização devida a mudanças na legislação urbana vigente.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Metodologia</w:t>
      </w:r>
    </w:p>
    <w:p w:rsidR="00000000" w:rsidDel="00000000" w:rsidP="00000000" w:rsidRDefault="00000000" w:rsidRPr="00000000" w14:paraId="0000000A">
      <w:pPr>
        <w:spacing w:after="0" w:line="240" w:lineRule="auto"/>
        <w:rPr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19"/>
          <w:szCs w:val="19"/>
          <w:rtl w:val="0"/>
        </w:rPr>
        <w:t xml:space="preserve">O projeto de plataforma a ser apresentado é </w:t>
      </w:r>
      <w:r w:rsidDel="00000000" w:rsidR="00000000" w:rsidRPr="00000000">
        <w:rPr>
          <w:sz w:val="20"/>
          <w:szCs w:val="20"/>
          <w:rtl w:val="0"/>
        </w:rPr>
        <w:t xml:space="preserve">baseado em demandas resultantes da investigação do método de trabalho do grupo (Author </w:t>
      </w:r>
      <w:r w:rsidDel="00000000" w:rsidR="00000000" w:rsidRPr="00000000">
        <w:rPr>
          <w:i w:val="1"/>
          <w:sz w:val="20"/>
          <w:szCs w:val="20"/>
          <w:rtl w:val="0"/>
        </w:rPr>
        <w:t xml:space="preserve">et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al</w:t>
      </w:r>
      <w:r w:rsidDel="00000000" w:rsidR="00000000" w:rsidRPr="00000000">
        <w:rPr>
          <w:sz w:val="20"/>
          <w:szCs w:val="20"/>
          <w:rtl w:val="0"/>
        </w:rPr>
        <w:t xml:space="preserve">., 2016), tendo como objetivo otimizar a integração e a retroalimentação entre as diferentes ferramentas tecnopolíticas utilizadas pelo grupo, compostas essencialmente por: a) mapas colaborativos georreferenciados (sendo a plataforma de </w:t>
      </w:r>
      <w:r w:rsidDel="00000000" w:rsidR="00000000" w:rsidRPr="00000000">
        <w:rPr>
          <w:i w:val="1"/>
          <w:sz w:val="20"/>
          <w:szCs w:val="20"/>
          <w:rtl w:val="0"/>
        </w:rPr>
        <w:t xml:space="preserve">crowdsourcing</w:t>
      </w:r>
      <w:r w:rsidDel="00000000" w:rsidR="00000000" w:rsidRPr="00000000">
        <w:rPr>
          <w:sz w:val="20"/>
          <w:szCs w:val="20"/>
          <w:rtl w:val="0"/>
        </w:rPr>
        <w:t xml:space="preserve"> Crowdmap/Ushahidi a escolha adotada com maior frequência); b) páginas Wiki; c) componentes de redes sociais (fanpage no Facebook, Twitter etc.); d) produção de linhas do tempo, infográficos e cartilhas. 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sz w:val="19"/>
          <w:szCs w:val="19"/>
        </w:rPr>
      </w:pPr>
      <w:r w:rsidDel="00000000" w:rsidR="00000000" w:rsidRPr="00000000">
        <w:rPr>
          <w:sz w:val="20"/>
          <w:szCs w:val="20"/>
          <w:rtl w:val="0"/>
        </w:rPr>
        <w:t xml:space="preserve">Por um lado, a utilização dessas diferentes interfaces tem proporcionado ao grupo o desenvolvimento de um método de trabalho capaz de abordar seus objetos de análise sob os aspectos territorial, temporal e conceitual, sempre buscando o maior nível possível de interação e comunicação em rede com os atores articulados em cada processo. A adoção de múltiplos canais e a ausência de conectividade entre alguns deles, no entanto, tem imposto desafios como trabalho duplicado, perda de informações e dispersão de dados, justificando o desejo de integração dessas funcionalidades em uma única plataforma de </w:t>
      </w:r>
      <w:r w:rsidDel="00000000" w:rsidR="00000000" w:rsidRPr="00000000">
        <w:rPr>
          <w:i w:val="1"/>
          <w:sz w:val="20"/>
          <w:szCs w:val="20"/>
          <w:rtl w:val="0"/>
        </w:rPr>
        <w:t xml:space="preserve">crowdsourcing</w:t>
      </w:r>
      <w:r w:rsidDel="00000000" w:rsidR="00000000" w:rsidRPr="00000000">
        <w:rPr>
          <w:sz w:val="20"/>
          <w:szCs w:val="20"/>
          <w:rtl w:val="0"/>
        </w:rPr>
        <w:t xml:space="preserve"> de código aberto </w:t>
      </w:r>
      <w:r w:rsidDel="00000000" w:rsidR="00000000" w:rsidRPr="00000000">
        <w:rPr>
          <w:sz w:val="20"/>
          <w:szCs w:val="20"/>
          <w:rtl w:val="0"/>
        </w:rPr>
        <w:t xml:space="preserve">Basicamente, o estudo apresenta o atual estado de desenvolvimento do projeto, que pode ser dividido na modelagem e no desenvolvimento de um protótipo e na sua aplicação durante o </w:t>
      </w:r>
      <w:r w:rsidDel="00000000" w:rsidR="00000000" w:rsidRPr="00000000">
        <w:rPr>
          <w:i w:val="1"/>
          <w:sz w:val="20"/>
          <w:szCs w:val="20"/>
          <w:rtl w:val="0"/>
        </w:rPr>
        <w:t xml:space="preserve">workshop</w:t>
      </w:r>
      <w:r w:rsidDel="00000000" w:rsidR="00000000" w:rsidRPr="00000000">
        <w:rPr>
          <w:sz w:val="20"/>
          <w:szCs w:val="20"/>
          <w:rtl w:val="0"/>
        </w:rPr>
        <w:t xml:space="preserve"> no processo de coleta de dados</w:t>
      </w:r>
      <w:r w:rsidDel="00000000" w:rsidR="00000000" w:rsidRPr="00000000">
        <w:rPr>
          <w:sz w:val="19"/>
          <w:szCs w:val="19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0" w:lineRule="auto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Resultados</w:t>
      </w:r>
    </w:p>
    <w:p w:rsidR="00000000" w:rsidDel="00000000" w:rsidP="00000000" w:rsidRDefault="00000000" w:rsidRPr="00000000" w14:paraId="0000000F">
      <w:pPr>
        <w:spacing w:after="28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De modo geral, propõe-se apresentar os resultados do desenvolvimento do protótipo da ferramenta até o momento, focando em: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lineRule="auto"/>
        <w:ind w:left="720" w:hanging="360"/>
        <w:rPr>
          <w:sz w:val="19"/>
          <w:szCs w:val="19"/>
          <w:u w:val="none"/>
        </w:rPr>
      </w:pPr>
      <w:r w:rsidDel="00000000" w:rsidR="00000000" w:rsidRPr="00000000">
        <w:rPr>
          <w:sz w:val="19"/>
          <w:szCs w:val="19"/>
          <w:rtl w:val="0"/>
        </w:rPr>
        <w:t xml:space="preserve">Resultados s</w:t>
      </w:r>
      <w:r w:rsidDel="00000000" w:rsidR="00000000" w:rsidRPr="00000000">
        <w:rPr>
          <w:sz w:val="19"/>
          <w:szCs w:val="19"/>
          <w:rtl w:val="0"/>
        </w:rPr>
        <w:t xml:space="preserve">obre o método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lineRule="auto"/>
        <w:ind w:left="720" w:hanging="360"/>
        <w:rPr>
          <w:sz w:val="19"/>
          <w:szCs w:val="19"/>
          <w:u w:val="none"/>
        </w:rPr>
      </w:pPr>
      <w:r w:rsidDel="00000000" w:rsidR="00000000" w:rsidRPr="00000000">
        <w:rPr>
          <w:sz w:val="19"/>
          <w:szCs w:val="19"/>
          <w:rtl w:val="0"/>
        </w:rPr>
        <w:t xml:space="preserve">Resultados sobre a usabilidade da ferramenta, segundo os usuários testados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80" w:lineRule="auto"/>
        <w:ind w:left="720" w:hanging="360"/>
        <w:rPr>
          <w:sz w:val="19"/>
          <w:szCs w:val="19"/>
          <w:u w:val="none"/>
        </w:rPr>
      </w:pPr>
      <w:r w:rsidDel="00000000" w:rsidR="00000000" w:rsidRPr="00000000">
        <w:rPr>
          <w:sz w:val="19"/>
          <w:szCs w:val="19"/>
          <w:rtl w:val="0"/>
        </w:rPr>
        <w:t xml:space="preserve">Resultados sobre a integração e utilidade dos dados coletados</w:t>
      </w:r>
    </w:p>
    <w:p w:rsidR="00000000" w:rsidDel="00000000" w:rsidP="00000000" w:rsidRDefault="00000000" w:rsidRPr="00000000" w14:paraId="00000013">
      <w:pPr>
        <w:spacing w:after="280" w:lineRule="auto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Discussão</w:t>
      </w:r>
    </w:p>
    <w:p w:rsidR="00000000" w:rsidDel="00000000" w:rsidP="00000000" w:rsidRDefault="00000000" w:rsidRPr="00000000" w14:paraId="00000014">
      <w:pPr>
        <w:spacing w:after="28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Propõe-se discutir sobre a adequação tanto do método utilizado quanto da ferramenta proposta aos objetivos propostos. Pretende-se debater acerca das potencialidades e limitações das ferramentas de </w:t>
      </w:r>
      <w:r w:rsidDel="00000000" w:rsidR="00000000" w:rsidRPr="00000000">
        <w:rPr>
          <w:i w:val="1"/>
          <w:sz w:val="19"/>
          <w:szCs w:val="19"/>
          <w:rtl w:val="0"/>
        </w:rPr>
        <w:t xml:space="preserve">crowdsourcing</w:t>
      </w:r>
      <w:r w:rsidDel="00000000" w:rsidR="00000000" w:rsidRPr="00000000">
        <w:rPr>
          <w:sz w:val="19"/>
          <w:szCs w:val="19"/>
          <w:rtl w:val="0"/>
        </w:rPr>
        <w:t xml:space="preserve"> de modo geral, e da IndAtlas especificamente para a investigação e baseada em dados cidadãos e para a tomada de opinião/decisão coletiva acerca da transformação do espaço urbano.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80" w:lineRule="auto"/>
        <w:jc w:val="both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Referências</w:t>
      </w:r>
    </w:p>
    <w:p w:rsidR="00000000" w:rsidDel="00000000" w:rsidP="00000000" w:rsidRDefault="00000000" w:rsidRPr="00000000" w14:paraId="00000016">
      <w:pPr>
        <w:spacing w:after="280" w:lineRule="auto"/>
        <w:jc w:val="both"/>
        <w:rPr>
          <w:sz w:val="19"/>
          <w:szCs w:val="19"/>
        </w:rPr>
      </w:pPr>
      <w:hyperlink r:id="rId6">
        <w:r w:rsidDel="00000000" w:rsidR="00000000" w:rsidRPr="00000000">
          <w:rPr>
            <w:b w:val="1"/>
            <w:color w:val="1155cc"/>
            <w:sz w:val="19"/>
            <w:szCs w:val="19"/>
            <w:u w:val="single"/>
            <w:rtl w:val="0"/>
          </w:rPr>
          <w:t xml:space="preserve">MATEVELI, G. V.</w:t>
        </w:r>
      </w:hyperlink>
      <w:r w:rsidDel="00000000" w:rsidR="00000000" w:rsidRPr="00000000">
        <w:rPr>
          <w:sz w:val="19"/>
          <w:szCs w:val="19"/>
          <w:rtl w:val="0"/>
        </w:rPr>
        <w:t xml:space="preserve">;</w:t>
      </w:r>
      <w:hyperlink r:id="rId7">
        <w:r w:rsidDel="00000000" w:rsidR="00000000" w:rsidRPr="00000000">
          <w:rPr>
            <w:sz w:val="19"/>
            <w:szCs w:val="19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sz w:val="19"/>
            <w:szCs w:val="19"/>
            <w:u w:val="single"/>
            <w:rtl w:val="0"/>
          </w:rPr>
          <w:t xml:space="preserve">MACHADO, N. G.</w:t>
        </w:r>
      </w:hyperlink>
      <w:r w:rsidDel="00000000" w:rsidR="00000000" w:rsidRPr="00000000">
        <w:rPr>
          <w:sz w:val="19"/>
          <w:szCs w:val="19"/>
          <w:rtl w:val="0"/>
        </w:rPr>
        <w:t xml:space="preserve"> ;</w:t>
      </w:r>
      <w:hyperlink r:id="rId9">
        <w:r w:rsidDel="00000000" w:rsidR="00000000" w:rsidRPr="00000000">
          <w:rPr>
            <w:sz w:val="19"/>
            <w:szCs w:val="19"/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sz w:val="19"/>
            <w:szCs w:val="19"/>
            <w:u w:val="single"/>
            <w:rtl w:val="0"/>
          </w:rPr>
          <w:t xml:space="preserve">MORO, M. M.</w:t>
        </w:r>
      </w:hyperlink>
      <w:r w:rsidDel="00000000" w:rsidR="00000000" w:rsidRPr="00000000">
        <w:rPr>
          <w:sz w:val="19"/>
          <w:szCs w:val="19"/>
          <w:rtl w:val="0"/>
        </w:rPr>
        <w:t xml:space="preserve"> ;</w:t>
      </w:r>
      <w:hyperlink r:id="rId11">
        <w:r w:rsidDel="00000000" w:rsidR="00000000" w:rsidRPr="00000000">
          <w:rPr>
            <w:sz w:val="19"/>
            <w:szCs w:val="19"/>
            <w:rtl w:val="0"/>
          </w:rPr>
          <w:t xml:space="preserve"> </w:t>
        </w:r>
      </w:hyperlink>
      <w:hyperlink r:id="rId12">
        <w:r w:rsidDel="00000000" w:rsidR="00000000" w:rsidRPr="00000000">
          <w:rPr>
            <w:color w:val="1155cc"/>
            <w:sz w:val="19"/>
            <w:szCs w:val="19"/>
            <w:u w:val="single"/>
            <w:rtl w:val="0"/>
          </w:rPr>
          <w:t xml:space="preserve">DAVIS JR., C. A.</w:t>
        </w:r>
      </w:hyperlink>
      <w:r w:rsidDel="00000000" w:rsidR="00000000" w:rsidRPr="00000000">
        <w:rPr>
          <w:sz w:val="19"/>
          <w:szCs w:val="19"/>
          <w:rtl w:val="0"/>
        </w:rPr>
        <w:t xml:space="preserve"> . </w:t>
      </w:r>
      <w:r w:rsidDel="00000000" w:rsidR="00000000" w:rsidRPr="00000000">
        <w:rPr>
          <w:i w:val="1"/>
          <w:sz w:val="19"/>
          <w:szCs w:val="19"/>
          <w:rtl w:val="0"/>
        </w:rPr>
        <w:t xml:space="preserve">Desafios de recomendação para coleta de dados geográficos por cidadãos</w:t>
      </w:r>
      <w:r w:rsidDel="00000000" w:rsidR="00000000" w:rsidRPr="00000000">
        <w:rPr>
          <w:sz w:val="19"/>
          <w:szCs w:val="19"/>
          <w:rtl w:val="0"/>
        </w:rPr>
        <w:t xml:space="preserve">. In: XXX Simpósio Brasileiro de Banco de Dados, 2015, Petrópolis, Rio de Janeiro. Anais do Simpósio Brasileiro de Banco de Dados, 2015. </w:t>
      </w:r>
    </w:p>
    <w:p w:rsidR="00000000" w:rsidDel="00000000" w:rsidP="00000000" w:rsidRDefault="00000000" w:rsidRPr="00000000" w14:paraId="00000017">
      <w:pPr>
        <w:spacing w:after="280" w:lineRule="auto"/>
        <w:jc w:val="both"/>
        <w:rPr>
          <w:sz w:val="19"/>
          <w:szCs w:val="19"/>
        </w:rPr>
      </w:pPr>
      <w:r w:rsidDel="00000000" w:rsidR="00000000" w:rsidRPr="00000000">
        <w:rPr>
          <w:sz w:val="20"/>
          <w:szCs w:val="20"/>
          <w:rtl w:val="0"/>
        </w:rPr>
        <w:t xml:space="preserve">Author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et al. Grupo de Pesquisa Indisciplinar</w:t>
      </w:r>
      <w:r w:rsidDel="00000000" w:rsidR="00000000" w:rsidRPr="00000000">
        <w:rPr>
          <w:sz w:val="20"/>
          <w:szCs w:val="20"/>
          <w:rtl w:val="0"/>
        </w:rPr>
        <w:t xml:space="preserve">: método, ativismo e tecnopolítica na defesa dos bens comuns urbanos. Madrid: Congreso Internacional Contested_Cities, eje 5: alternativas urbanas, 2016. Disponível em: &lt;http://contested-cities.net/working-papers/2016/grupo-de-pesquisa-indisciplinar-metodo-ativismo-e-tecnopolitica-na-defesa-dos-bens-comuns-urbanos/&gt;. Acesso em: 24 mar. 2018.</w:t>
      </w:r>
      <w:r w:rsidDel="00000000" w:rsidR="00000000" w:rsidRPr="00000000">
        <w:rPr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80" w:lineRule="auto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SUI; ELWOOD; GOODCHILD. </w:t>
      </w:r>
      <w:r w:rsidDel="00000000" w:rsidR="00000000" w:rsidRPr="00000000">
        <w:rPr>
          <w:i w:val="1"/>
          <w:sz w:val="19"/>
          <w:szCs w:val="19"/>
          <w:rtl w:val="0"/>
        </w:rPr>
        <w:t xml:space="preserve">Crowdsourcing Geographic Knowledge</w:t>
      </w:r>
      <w:r w:rsidDel="00000000" w:rsidR="00000000" w:rsidRPr="00000000">
        <w:rPr>
          <w:sz w:val="19"/>
          <w:szCs w:val="19"/>
          <w:rtl w:val="0"/>
        </w:rPr>
        <w:t xml:space="preserve">: volunteered Geographic Information (VGI) in Theory and Practice. Dordrecht: Springer Netherlands, 2013.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lattes.cnpq.br/0471595469074043" TargetMode="External"/><Relationship Id="rId10" Type="http://schemas.openxmlformats.org/officeDocument/2006/relationships/hyperlink" Target="http://lattes.cnpq.br/6408321790990372" TargetMode="External"/><Relationship Id="rId12" Type="http://schemas.openxmlformats.org/officeDocument/2006/relationships/hyperlink" Target="http://lattes.cnpq.br/0471595469074043" TargetMode="External"/><Relationship Id="rId9" Type="http://schemas.openxmlformats.org/officeDocument/2006/relationships/hyperlink" Target="http://lattes.cnpq.br/6408321790990372" TargetMode="External"/><Relationship Id="rId5" Type="http://schemas.openxmlformats.org/officeDocument/2006/relationships/styles" Target="styles.xml"/><Relationship Id="rId6" Type="http://schemas.openxmlformats.org/officeDocument/2006/relationships/hyperlink" Target="http://lattes.cnpq.br/9258765162182336" TargetMode="External"/><Relationship Id="rId7" Type="http://schemas.openxmlformats.org/officeDocument/2006/relationships/hyperlink" Target="http://lattes.cnpq.br/7770953339948059" TargetMode="External"/><Relationship Id="rId8" Type="http://schemas.openxmlformats.org/officeDocument/2006/relationships/hyperlink" Target="http://lattes.cnpq.br/7770953339948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