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1D" w:rsidRDefault="00235E69" w:rsidP="004C0390">
      <w:pPr>
        <w:jc w:val="both"/>
      </w:pPr>
      <w:r>
        <w:t xml:space="preserve">Fichamento - </w:t>
      </w:r>
      <w:r w:rsidRPr="00235E69">
        <w:t>Tecnologia e Política da Internet das Coisas para o Sistema de Transporte Público de Belo Horizonte</w:t>
      </w:r>
    </w:p>
    <w:p w:rsidR="00235E69" w:rsidRDefault="00235E69" w:rsidP="004C0390">
      <w:pPr>
        <w:jc w:val="both"/>
      </w:pPr>
    </w:p>
    <w:p w:rsidR="00235E69" w:rsidRDefault="00235E69" w:rsidP="004C0390">
      <w:pPr>
        <w:jc w:val="both"/>
      </w:pPr>
      <w:r>
        <w:t xml:space="preserve">1 – </w:t>
      </w:r>
      <w:r w:rsidR="00E45F41">
        <w:t>movimento regulatório reativo</w:t>
      </w:r>
    </w:p>
    <w:p w:rsidR="00235E69" w:rsidRDefault="00235E69" w:rsidP="004C0390">
      <w:pPr>
        <w:jc w:val="both"/>
      </w:pPr>
      <w:r>
        <w:t>“</w:t>
      </w:r>
      <w:r>
        <w:t>de um lado, o movimento regulatório do governo pressionado por comunidades e, do outro, iniciativas empresariais que deformam o debate político, regulatório e público</w:t>
      </w:r>
      <w:r>
        <w:t>”</w:t>
      </w:r>
    </w:p>
    <w:p w:rsidR="00235E69" w:rsidRDefault="00235E69" w:rsidP="004C0390">
      <w:pPr>
        <w:jc w:val="both"/>
      </w:pPr>
      <w:r>
        <w:t>“</w:t>
      </w:r>
      <w:r>
        <w:t>nossas políticas parecem estar (quase) sempre reagindo às iniciativas privadas</w:t>
      </w:r>
      <w:r>
        <w:t>”</w:t>
      </w:r>
    </w:p>
    <w:p w:rsidR="00E45F41" w:rsidRDefault="00235E69" w:rsidP="004C0390">
      <w:pPr>
        <w:jc w:val="both"/>
      </w:pPr>
      <w:r>
        <w:t xml:space="preserve">2 -   </w:t>
      </w:r>
      <w:r w:rsidR="00E45F41">
        <w:t>políticas públicas reativas</w:t>
      </w:r>
      <w:r w:rsidR="00E45F41">
        <w:t xml:space="preserve"> </w:t>
      </w:r>
    </w:p>
    <w:p w:rsidR="00235E69" w:rsidRDefault="00235E69" w:rsidP="004C0390">
      <w:pPr>
        <w:jc w:val="both"/>
      </w:pPr>
      <w:r>
        <w:t>“</w:t>
      </w:r>
      <w:r>
        <w:t>Na contramão de um Estado ativo que propõe e regulamenta as tecnologias disruptivas tendo como matriz fundamental os interesses comuns e não os privados, a regulamentação no Brasil tem sido sempre reativa como um acordo posterior minimizador de danos.</w:t>
      </w:r>
      <w:r>
        <w:t>”</w:t>
      </w:r>
    </w:p>
    <w:p w:rsidR="00B527D1" w:rsidRDefault="00235E69" w:rsidP="004C0390">
      <w:pPr>
        <w:jc w:val="both"/>
      </w:pPr>
      <w:r>
        <w:t xml:space="preserve">3 - O que é internet das coisas e qual a ênfase deste </w:t>
      </w:r>
      <w:r w:rsidR="00E45F41">
        <w:t>artigo</w:t>
      </w:r>
    </w:p>
    <w:p w:rsidR="00B527D1" w:rsidRDefault="00B527D1" w:rsidP="004C0390">
      <w:pPr>
        <w:jc w:val="both"/>
      </w:pPr>
      <w:r>
        <w:t>“</w:t>
      </w:r>
      <w:r>
        <w:t>Consideramos como parte essencial do ecossistema de IoT aplicado ao ambiente urbano a tecnologia de comunicação móvel com uso de mídia locativa, distribuída e pervasiva associada a um indivíduo. Deste modo, observamos essa tecnologia com mais ênfase.</w:t>
      </w:r>
      <w:r>
        <w:t>”</w:t>
      </w:r>
    </w:p>
    <w:p w:rsidR="00B527D1" w:rsidRDefault="00B527D1" w:rsidP="004C0390">
      <w:pPr>
        <w:jc w:val="both"/>
      </w:pPr>
      <w:r>
        <w:t>4 – O documento do BNDES</w:t>
      </w:r>
      <w:r w:rsidR="00E45F41">
        <w:t xml:space="preserve"> e a falta de política clara</w:t>
      </w:r>
    </w:p>
    <w:p w:rsidR="00B527D1" w:rsidRDefault="00B527D1" w:rsidP="004C0390">
      <w:pPr>
        <w:jc w:val="both"/>
      </w:pPr>
      <w:r>
        <w:t>“</w:t>
      </w:r>
      <w:r>
        <w:t>documento com um diagnóstico e a proposição de plano de ação estratégico para o Brasil em Internet das Coisas</w:t>
      </w:r>
      <w:r>
        <w:t>”</w:t>
      </w:r>
    </w:p>
    <w:p w:rsidR="00B527D1" w:rsidRDefault="00B527D1" w:rsidP="004C0390">
      <w:pPr>
        <w:jc w:val="both"/>
      </w:pPr>
      <w:r>
        <w:t>“</w:t>
      </w:r>
      <w:r>
        <w:t xml:space="preserve">Ao citar nominalmente a ideia de </w:t>
      </w:r>
      <w:r>
        <w:rPr>
          <w:i/>
        </w:rPr>
        <w:t>smart city</w:t>
      </w:r>
      <w:r>
        <w:t xml:space="preserve"> como ambiente prioritário, acabamos sendo obrigados a investigar e nos posicionar quanto ao </w:t>
      </w:r>
      <w:r>
        <w:t>que entendemos por esse conceito”</w:t>
      </w:r>
    </w:p>
    <w:p w:rsidR="00B527D1" w:rsidRDefault="00B527D1" w:rsidP="004C0390">
      <w:pPr>
        <w:jc w:val="both"/>
      </w:pPr>
      <w:r>
        <w:t>“</w:t>
      </w:r>
      <w:r>
        <w:t>BNDES não avança muito em um indicativo de política claro. O governo britânico, por outro lado, se antecipou e criou uma agência para desenvolver pesquisas e políticas para veículos autônomos</w:t>
      </w:r>
      <w:r>
        <w:t>”</w:t>
      </w:r>
    </w:p>
    <w:p w:rsidR="00B527D1" w:rsidRDefault="00B527D1" w:rsidP="004C0390">
      <w:pPr>
        <w:jc w:val="both"/>
      </w:pPr>
      <w:r>
        <w:t xml:space="preserve">“uma das </w:t>
      </w:r>
      <w:r>
        <w:t>maiores preocupações do documento é referente à proteção dos dados</w:t>
      </w:r>
      <w:r>
        <w:t>”</w:t>
      </w:r>
    </w:p>
    <w:p w:rsidR="00B527D1" w:rsidRDefault="00B527D1" w:rsidP="004C0390">
      <w:pPr>
        <w:jc w:val="both"/>
      </w:pPr>
      <w:r>
        <w:t>“</w:t>
      </w:r>
      <w:r>
        <w:t>vamos discutir um pouco mais sobre Cidades Int</w:t>
      </w:r>
      <w:r>
        <w:t>eligentes e proteção dos dados”</w:t>
      </w:r>
    </w:p>
    <w:p w:rsidR="00B527D1" w:rsidRDefault="00B527D1" w:rsidP="004C0390">
      <w:pPr>
        <w:jc w:val="both"/>
      </w:pPr>
      <w:r>
        <w:t xml:space="preserve">5 </w:t>
      </w:r>
      <w:r w:rsidR="00E45F41">
        <w:t>–</w:t>
      </w:r>
      <w:r>
        <w:t xml:space="preserve"> </w:t>
      </w:r>
      <w:r w:rsidR="00E45F41">
        <w:t>Discussão sobre o conceito de cidades inteligentes</w:t>
      </w:r>
    </w:p>
    <w:p w:rsidR="00E45F41" w:rsidRDefault="00E45F41" w:rsidP="004C0390">
      <w:pPr>
        <w:jc w:val="both"/>
      </w:pPr>
      <w:r>
        <w:t>“</w:t>
      </w:r>
      <w:r>
        <w:t>Cidades Inteligentes (Smart Cities) é um termo que tem sido usado para se referir à aplicação da tecnologia informacional (TI), de maneira ubíqua, à infraestrutura ou à administração das cidades</w:t>
      </w:r>
      <w:r>
        <w:t>”</w:t>
      </w:r>
    </w:p>
    <w:p w:rsidR="00E45F41" w:rsidRDefault="00E45F41" w:rsidP="004C0390">
      <w:pPr>
        <w:jc w:val="both"/>
      </w:pPr>
      <w:r>
        <w:t>6 – Cidade inteligente é um produto</w:t>
      </w:r>
    </w:p>
    <w:p w:rsidR="00E45F41" w:rsidRDefault="00E45F41" w:rsidP="004C0390">
      <w:pPr>
        <w:jc w:val="both"/>
      </w:pPr>
      <w:r>
        <w:t>“</w:t>
      </w:r>
      <w:r>
        <w:t xml:space="preserve">A cidade inteligente é um </w:t>
      </w:r>
      <w:r>
        <w:rPr>
          <w:b/>
        </w:rPr>
        <w:t>produto</w:t>
      </w:r>
      <w:r>
        <w:t xml:space="preserve"> da indústria de tecnologia da informação que vende soluções para o futuro das cidades nas áreas de planejamento, infraestrutura, programas sociais, saúde e educação.</w:t>
      </w:r>
      <w:r>
        <w:t>”</w:t>
      </w:r>
    </w:p>
    <w:p w:rsidR="00E45F41" w:rsidRDefault="00E45F41" w:rsidP="004C0390">
      <w:pPr>
        <w:jc w:val="both"/>
      </w:pPr>
      <w:r>
        <w:lastRenderedPageBreak/>
        <w:t>“</w:t>
      </w:r>
      <w:r w:rsidRPr="00E45F41">
        <w:t>o marketing é uma estratégia forte de convencimento de que a tecnologia seria a principal ferramenta emancipadora e promissora para solucionar tod</w:t>
      </w:r>
      <w:r>
        <w:t>os os problemas de uma cidade.”</w:t>
      </w:r>
    </w:p>
    <w:p w:rsidR="00E45F41" w:rsidRDefault="00E45F41" w:rsidP="004C0390">
      <w:pPr>
        <w:jc w:val="both"/>
      </w:pPr>
      <w:r>
        <w:t>7 – cidade como ambiente desorganizado X cidade como problema de complexidade organizada</w:t>
      </w:r>
    </w:p>
    <w:p w:rsidR="00E45F41" w:rsidRDefault="00E45F41" w:rsidP="004C0390">
      <w:pPr>
        <w:jc w:val="both"/>
      </w:pPr>
      <w:r>
        <w:t>“</w:t>
      </w:r>
      <w:r>
        <w:t>Moses, IBM, CISCO e Gehl olham para a cidade e reconhecem sua complexidade, mas a enxergam como um ambiente desorganizado, que, logo, precisa ser organizado.</w:t>
      </w:r>
      <w:r>
        <w:t>”</w:t>
      </w:r>
    </w:p>
    <w:p w:rsidR="00E45F41" w:rsidRDefault="00E45F41" w:rsidP="004C0390">
      <w:pPr>
        <w:jc w:val="both"/>
      </w:pPr>
      <w:r>
        <w:t>“</w:t>
      </w:r>
      <w:r>
        <w:t>Jacobs olhava para a cidade reconhecendo sua organização, vendo-a como um problema de complexidade organizada</w:t>
      </w:r>
      <w:r>
        <w:t xml:space="preserve"> </w:t>
      </w:r>
      <w:r>
        <w:t>e isso muda radicalmente a forma de ação sobre o ambiente urbano. Para ela, a complexidade não é um problema, é a solução e o que importa é reconhecer a força que há nos processos de auto-organização dos indivíduos em comunidade no ambiente urbano. Uma comunidade só existe quando há autonomia de seus indivíduos e é ali que se encontra a vida de uma cidade.</w:t>
      </w:r>
      <w:r>
        <w:t xml:space="preserve"> </w:t>
      </w:r>
      <w:r>
        <w:t>A morte de uma cidade está na anulação da autonomia de suas comunidades e no não reconhecimento de sua capacidade de solucionar seus próprios problemas</w:t>
      </w:r>
      <w:r>
        <w:t>.”</w:t>
      </w:r>
    </w:p>
    <w:p w:rsidR="00E45F41" w:rsidRDefault="00E45F41" w:rsidP="004C0390">
      <w:pPr>
        <w:jc w:val="both"/>
        <w:rPr>
          <w:b/>
        </w:rPr>
      </w:pPr>
      <w:r>
        <w:t>“</w:t>
      </w:r>
      <w:r>
        <w:t xml:space="preserve">Weaver desenvolveu seu ensaio quando esteve em conexão com o grupo dos Laboratórios Bell e conheceu as possibilidades da computação digital com modelagens de comportamento em </w:t>
      </w:r>
      <w:r>
        <w:rPr>
          <w:b/>
        </w:rPr>
        <w:t xml:space="preserve">tempo </w:t>
      </w:r>
      <w:r w:rsidR="003207CA">
        <w:rPr>
          <w:b/>
        </w:rPr>
        <w:t>real</w:t>
      </w:r>
      <w:r w:rsidR="003207CA">
        <w:t xml:space="preserve"> (JOHNSON, 2003, p.36). A indústria da computação digital fomentou o debate da complexidade organizada e criou dispositivos para modelagem em tempo real de sistemas complexos.</w:t>
      </w:r>
      <w:r>
        <w:rPr>
          <w:b/>
        </w:rPr>
        <w:t>”</w:t>
      </w:r>
    </w:p>
    <w:p w:rsidR="003207CA" w:rsidRDefault="003207CA" w:rsidP="004C0390">
      <w:pPr>
        <w:jc w:val="both"/>
      </w:pPr>
      <w:r>
        <w:rPr>
          <w:b/>
        </w:rPr>
        <w:t>“</w:t>
      </w:r>
      <w:r>
        <w:t xml:space="preserve">Cidade Inteligente é um </w:t>
      </w:r>
      <w:r>
        <w:rPr>
          <w:b/>
        </w:rPr>
        <w:t>produto</w:t>
      </w:r>
      <w:r>
        <w:t xml:space="preserve"> industrial que impõe um certo controle sobre o cotidiano do cidadão de maneira mais sofisticada e sutil que a que nos foi apresentada pela indústria automobilística ao longo do século XXI</w:t>
      </w:r>
      <w:r>
        <w:t>”</w:t>
      </w:r>
    </w:p>
    <w:p w:rsidR="003207CA" w:rsidRDefault="003207CA" w:rsidP="004C0390">
      <w:pPr>
        <w:jc w:val="both"/>
      </w:pPr>
      <w:r>
        <w:t>“</w:t>
      </w:r>
      <w:r>
        <w:t xml:space="preserve">Estamos diante de uma tecnologia emancipadora, </w:t>
      </w:r>
      <w:r>
        <w:rPr>
          <w:i/>
        </w:rPr>
        <w:t xml:space="preserve">bottom-up, </w:t>
      </w:r>
      <w:r>
        <w:t>ou estamos experimentando apenas mais um dispositivo de controle na sociedade do controle de Foucault</w:t>
      </w:r>
      <w:r>
        <w:t>?”</w:t>
      </w:r>
    </w:p>
    <w:p w:rsidR="00912671" w:rsidRDefault="00912671" w:rsidP="004C0390">
      <w:pPr>
        <w:jc w:val="both"/>
      </w:pPr>
      <w:r>
        <w:t>8 – produção de dados como trabalho</w:t>
      </w:r>
    </w:p>
    <w:p w:rsidR="00912671" w:rsidRDefault="00912671" w:rsidP="004C0390">
      <w:pPr>
        <w:jc w:val="both"/>
      </w:pPr>
      <w:r>
        <w:t>“</w:t>
      </w:r>
      <w:r>
        <w:t xml:space="preserve">Novos conceitos de trabalho aparecem, como </w:t>
      </w:r>
      <w:r>
        <w:rPr>
          <w:i/>
        </w:rPr>
        <w:t xml:space="preserve">geospatial labor </w:t>
      </w:r>
      <w:r>
        <w:t xml:space="preserve">(trabalho geoespacial, em tradução livre), que se dá de forma irrefletida ou mesmo involuntária com o uso de dispositivos com georreferenciamento, tais como celulares (Scholz, 2011), e </w:t>
      </w:r>
      <w:r>
        <w:rPr>
          <w:i/>
        </w:rPr>
        <w:t xml:space="preserve">digital labor </w:t>
      </w:r>
      <w:r>
        <w:t>(trabalho digital, em tradução livre), que pode se referir ao trabalho remunerado –  muitas vezes precário, mas já visível e reconhecido – ou mesmo “[...] à ativação do nosso comportamento nas redes sociais como um trabalho monetizável” (“[...] the activation of our behavior on the social web as monetizable labor”) (Scholz, 2013).</w:t>
      </w:r>
      <w:r>
        <w:t>”</w:t>
      </w:r>
    </w:p>
    <w:p w:rsidR="00912671" w:rsidRDefault="00912671" w:rsidP="004C0390">
      <w:pPr>
        <w:jc w:val="both"/>
      </w:pPr>
      <w:r>
        <w:t xml:space="preserve">9 – </w:t>
      </w:r>
      <w:r w:rsidR="004C0390">
        <w:t xml:space="preserve">nossos </w:t>
      </w:r>
      <w:r>
        <w:t>dados como importantes produtos e matérias primas</w:t>
      </w:r>
    </w:p>
    <w:p w:rsidR="00912671" w:rsidRDefault="004C0390" w:rsidP="004C0390">
      <w:pPr>
        <w:jc w:val="both"/>
      </w:pPr>
      <w:r>
        <w:t>“</w:t>
      </w:r>
      <w:r w:rsidRPr="004C0390">
        <w:t>Como filtro para a publicidade personalizada, ferramenta de vigilância para órgãos de segurança ou base para desenvolvimento e refinamento de soluções, tais como reconhecimento facial ou análise de sentimentos, nossos dados são importantes produtos e matérias primas, na maior parte das vezes apropriados e privatizados sem nosso conhecimento.</w:t>
      </w:r>
      <w:r>
        <w:t>”</w:t>
      </w:r>
    </w:p>
    <w:p w:rsidR="00E87153" w:rsidRDefault="00E87153" w:rsidP="004C0390">
      <w:pPr>
        <w:jc w:val="both"/>
      </w:pPr>
      <w:r>
        <w:lastRenderedPageBreak/>
        <w:t>10 – privacidade e natureza pública dos dados produzidos coletivamente</w:t>
      </w:r>
    </w:p>
    <w:p w:rsidR="00E87153" w:rsidRDefault="00E87153" w:rsidP="00E87153">
      <w:pPr>
        <w:jc w:val="both"/>
      </w:pPr>
      <w:r>
        <w:rPr>
          <w:i/>
        </w:rPr>
        <w:t xml:space="preserve">surveillance capitalism - </w:t>
      </w:r>
      <w:r>
        <w:t>Foster &amp; McChesney (2018)</w:t>
      </w:r>
      <w:r>
        <w:t xml:space="preserve"> -&gt; dados usados para publicidade personalizada e vigilância</w:t>
      </w:r>
    </w:p>
    <w:p w:rsidR="00CC239A" w:rsidRDefault="00CC239A" w:rsidP="00E87153">
      <w:pPr>
        <w:jc w:val="both"/>
      </w:pPr>
      <w:r>
        <w:t>“</w:t>
      </w:r>
      <w:r>
        <w:t>o debate sobre privacidade, já mais em pauta, é pouco aprofundado no sentido do direito a não ter um dado capturado</w:t>
      </w:r>
      <w:r>
        <w:t>”</w:t>
      </w:r>
    </w:p>
    <w:p w:rsidR="00E87153" w:rsidRDefault="00E87153" w:rsidP="00E87153">
      <w:pPr>
        <w:jc w:val="both"/>
      </w:pPr>
      <w:r>
        <w:t>“</w:t>
      </w:r>
      <w:r>
        <w:t>se considerarmos a produção dos dados como um trabalho desempenhado coletivamente – já que a base normalmente, com exceção do uso para publicidade, tem valor em grande volume – não teriam esses dados uma natureza pública e, portanto, não passível de ser privatizada?</w:t>
      </w:r>
      <w:r>
        <w:t>”</w:t>
      </w:r>
    </w:p>
    <w:p w:rsidR="00712FD8" w:rsidRDefault="00712FD8" w:rsidP="00E87153">
      <w:pPr>
        <w:jc w:val="both"/>
      </w:pPr>
      <w:r>
        <w:t>11 – dados abertos</w:t>
      </w:r>
    </w:p>
    <w:p w:rsidR="00712FD8" w:rsidRDefault="00712FD8" w:rsidP="00E87153">
      <w:pPr>
        <w:jc w:val="both"/>
      </w:pPr>
      <w:r>
        <w:t>“</w:t>
      </w:r>
      <w:r>
        <w:t>Szell &amp; Groß (2014) definem o conceito como a ideia de que alguns dados devem estar disponíveis sem restrições por todos que queiram acessá-los. Para Goldsmith &amp; Crawford (2014), ainda, a aplicação desse conceito nos serviços públicos possibilita aos cidadãos, organizados ou individualmente, entender melhor as ações do governo e participar ativamente no planejamento.</w:t>
      </w:r>
      <w:r>
        <w:t>”</w:t>
      </w:r>
    </w:p>
    <w:p w:rsidR="00E87153" w:rsidRDefault="00712FD8" w:rsidP="004C0390">
      <w:pPr>
        <w:jc w:val="both"/>
      </w:pPr>
      <w:r>
        <w:t>“</w:t>
      </w:r>
      <w:r>
        <w:t>aplicações como as da Uber, que, além do lucro decorrente da prestação do serviço</w:t>
      </w:r>
      <w:r>
        <w:t xml:space="preserve">, tem [...] </w:t>
      </w:r>
      <w:r w:rsidRPr="00712FD8">
        <w:t>possibilidade de monetização em cima dos dados.</w:t>
      </w:r>
      <w:r>
        <w:t>”</w:t>
      </w:r>
    </w:p>
    <w:p w:rsidR="00712FD8" w:rsidRDefault="00712FD8" w:rsidP="004C0390">
      <w:pPr>
        <w:jc w:val="both"/>
      </w:pPr>
      <w:r>
        <w:t xml:space="preserve">12 – dados como recursos coletivos </w:t>
      </w:r>
    </w:p>
    <w:p w:rsidR="00712FD8" w:rsidRDefault="00712FD8" w:rsidP="004C0390">
      <w:pPr>
        <w:jc w:val="both"/>
      </w:pPr>
      <w:r>
        <w:t>“</w:t>
      </w:r>
      <w:r>
        <w:t xml:space="preserve">Neelie Kroes (2012), </w:t>
      </w:r>
      <w:r w:rsidRPr="00712FD8">
        <w:rPr>
          <w:color w:val="808080" w:themeColor="background1" w:themeShade="80"/>
        </w:rPr>
        <w:t xml:space="preserve">encarregada responsável pela agenda digital para a Europa, </w:t>
      </w:r>
      <w:r>
        <w:t>vai além e define os dados como o novo petróleo, defendendo que a melhor maneira de aproveitar seu valor é possibilitar seu acesso aberto.</w:t>
      </w:r>
      <w:r>
        <w:t>”</w:t>
      </w:r>
    </w:p>
    <w:p w:rsidR="00712FD8" w:rsidRDefault="00712FD8" w:rsidP="004C0390">
      <w:pPr>
        <w:jc w:val="both"/>
      </w:pPr>
      <w:r>
        <w:t xml:space="preserve">13 – </w:t>
      </w:r>
      <w:r w:rsidR="0042185C">
        <w:t>direito a saber para o que nossos dados são usados</w:t>
      </w:r>
    </w:p>
    <w:p w:rsidR="00712FD8" w:rsidRDefault="0042185C" w:rsidP="004C0390">
      <w:pPr>
        <w:jc w:val="both"/>
      </w:pPr>
      <w:r>
        <w:t xml:space="preserve">“código aberto [...] </w:t>
      </w:r>
      <w:r>
        <w:t>refere-se à necessidade de acesso ao código de determinada aplicação sob a luz de um critério de transparência</w:t>
      </w:r>
      <w:r>
        <w:t>”</w:t>
      </w:r>
    </w:p>
    <w:p w:rsidR="00712FD8" w:rsidRDefault="00712FD8" w:rsidP="004C0390">
      <w:pPr>
        <w:jc w:val="both"/>
      </w:pPr>
      <w:r>
        <w:t>“</w:t>
      </w:r>
      <w:r>
        <w:t>um software pode ser definido como livre quando segue uma licença que permite ao usuário executar, copiar, distribuir, estudar, modificar e melhorar a aplicação, que não necessariamente é gratuita, sem pedir qualquer autorização (Stallman, 2002).</w:t>
      </w:r>
      <w:r>
        <w:t>”</w:t>
      </w:r>
    </w:p>
    <w:p w:rsidR="00E45F41" w:rsidRDefault="0042185C">
      <w:r>
        <w:t>“</w:t>
      </w:r>
      <w:r>
        <w:t>questão o direito a saber quais dados são coletados de nós, quem os acessa e com que finalidade os usa.</w:t>
      </w:r>
      <w:r>
        <w:t>”</w:t>
      </w:r>
    </w:p>
    <w:p w:rsidR="0042185C" w:rsidRDefault="0042185C">
      <w:r>
        <w:t>14 – legislação brasileira sobre acesso a dados</w:t>
      </w:r>
    </w:p>
    <w:p w:rsidR="0042185C" w:rsidRDefault="0042185C">
      <w:r>
        <w:t>“</w:t>
      </w:r>
      <w:r>
        <w:t>O artigo 24 do Marco Civil constitui como diretriz para o Poder Público a “adoção preferencial de tecnologias, padrões e formatos abertos e livres” e a “publicidade e disseminação de dados e informações públicos, de forma aberta e estruturada” (Lei nº 12.965, 2014).</w:t>
      </w:r>
      <w:r>
        <w:t>”</w:t>
      </w:r>
    </w:p>
    <w:p w:rsidR="0042185C" w:rsidRDefault="0042185C">
      <w:r>
        <w:t>“</w:t>
      </w:r>
      <w:r>
        <w:t>Anteriormente, a Lei de Acesso à Informação já definiu parâmetros para a divulgação dos dados não sigilosos</w:t>
      </w:r>
      <w:r>
        <w:t>”</w:t>
      </w:r>
    </w:p>
    <w:p w:rsidR="0042185C" w:rsidRDefault="0042185C">
      <w:r>
        <w:lastRenderedPageBreak/>
        <w:t>“</w:t>
      </w:r>
      <w:r>
        <w:t>assegura o direito de não fornecimento de dados pessoais “salvo mediante consentimento livre, expresso, e informado ou nas hipóteses previstas em lei”</w:t>
      </w:r>
      <w:r>
        <w:t xml:space="preserve"> ou para prestação de serviço essencial, desde  que mantida a finalidade específica</w:t>
      </w:r>
    </w:p>
    <w:p w:rsidR="00DB54D9" w:rsidRDefault="00DB54D9">
      <w:r>
        <w:t>“</w:t>
      </w:r>
      <w:r>
        <w:t>se o Poder Público quiser usar os dados pessoais para objetivo alheio à prestação do serviço, é necessário obter consentimento do cidadão ou fazer “anonimização, agregação e utilização de técnicas como privacidade diferencial”</w:t>
      </w:r>
    </w:p>
    <w:p w:rsidR="00DB54D9" w:rsidRDefault="00DB54D9">
      <w:r>
        <w:t>15 – não há na lei brasileira perspectiva de dados como recursos</w:t>
      </w:r>
    </w:p>
    <w:p w:rsidR="00DB54D9" w:rsidRDefault="00DB54D9">
      <w:r>
        <w:t>“</w:t>
      </w:r>
      <w:r>
        <w:t xml:space="preserve">a legislação brasileira ainda não parte de uma perspectiva da </w:t>
      </w:r>
      <w:r>
        <w:t>informação digital como recurso”</w:t>
      </w:r>
    </w:p>
    <w:p w:rsidR="00DB54D9" w:rsidRDefault="0074687B">
      <w:r>
        <w:t>16 – tecnologia móvel com uso de mídias locativasé central no ecossistema de IoT urbano</w:t>
      </w:r>
    </w:p>
    <w:p w:rsidR="0074687B" w:rsidRDefault="0074687B">
      <w:r>
        <w:t>“a</w:t>
      </w:r>
      <w:r>
        <w:t xml:space="preserve"> possibilidade de um sistema de transporte urbano, não público, equacion</w:t>
      </w:r>
      <w:r>
        <w:t>ado pela tecnologia disruptiva.”</w:t>
      </w:r>
    </w:p>
    <w:p w:rsidR="0074687B" w:rsidRDefault="0074687B">
      <w:r>
        <w:t>17 – exploração dos dados pela iniciativa privada</w:t>
      </w:r>
    </w:p>
    <w:p w:rsidR="0074687B" w:rsidRDefault="0074687B">
      <w:r>
        <w:t>“</w:t>
      </w:r>
      <w:r>
        <w:t>a única iniciativa política do governo que encontramos foi a do BNDES, que tende a direcionar financiamento público para produtos de Cidades Inteligentes.</w:t>
      </w:r>
      <w:r>
        <w:t>”</w:t>
      </w:r>
    </w:p>
    <w:p w:rsidR="0074687B" w:rsidRDefault="0074687B">
      <w:r>
        <w:t>“</w:t>
      </w:r>
      <w:r>
        <w:t>As Cidades Inteligentes, por sua vez, são formas sofisticadas de controle que se impõem aos cidadãos de modo arrogante (praticamente os considerando não-inteligentes)</w:t>
      </w:r>
      <w:r>
        <w:t>”</w:t>
      </w:r>
    </w:p>
    <w:p w:rsidR="0074687B" w:rsidRDefault="005A72FB">
      <w:r>
        <w:t>“</w:t>
      </w:r>
      <w:r>
        <w:t>Dados urbanos são o petróleo do século XXI</w:t>
      </w:r>
      <w:r>
        <w:t>. [...]</w:t>
      </w:r>
      <w:r>
        <w:t>E essa riqueza, produzida por cada cidadão coletivamente, tem sido gradualmente privatizada e retornada ao cidadão em fo</w:t>
      </w:r>
      <w:r>
        <w:t>rmas surtis de controle social.”</w:t>
      </w:r>
    </w:p>
    <w:p w:rsidR="005A72FB" w:rsidRDefault="005A72FB">
      <w:r>
        <w:t>18 – andamento da pesquisa</w:t>
      </w:r>
    </w:p>
    <w:p w:rsidR="005A72FB" w:rsidRDefault="005A72FB" w:rsidP="005A72FB">
      <w:r>
        <w:t>Até o momento, concluímos uma pesquisa sobre a tecnologia instalada e disponível, os tipos de dados que têm sido coletados e a forma como eles têm sido tratados em soluções, propriedade (direito, acesso) e em políticas públicas. A próxima etapa consistirá em aprofundar essa investigação e propor à BHTRANS possíveis  soluções em aplicações e políticas considerando a dimensão pública. A BHTRANS é parceira desta pesquisa e está colaborando com o nosso trabalho.</w:t>
      </w:r>
    </w:p>
    <w:p w:rsidR="00EA65B3" w:rsidRDefault="00EA65B3" w:rsidP="005A72FB">
      <w:r>
        <w:t>19 – BHTrans e SITBus</w:t>
      </w:r>
    </w:p>
    <w:p w:rsidR="00EA65B3" w:rsidRDefault="00EA65B3" w:rsidP="005A72FB">
      <w:r>
        <w:t>BHTRANS é uma “</w:t>
      </w:r>
      <w:r>
        <w:t>sociedade de economia mista municipal dependente e de capital fechado</w:t>
      </w:r>
      <w:r>
        <w:t>”</w:t>
      </w:r>
    </w:p>
    <w:p w:rsidR="00EA65B3" w:rsidRDefault="00EA65B3" w:rsidP="005A72FB">
      <w:r>
        <w:t>“</w:t>
      </w:r>
      <w:r>
        <w:t>A BHTRANS é responsável pelo planejamento da mobilidade urbana e pela gestão dos contratos de concessão de serviço de transporte público, entre outras funções.</w:t>
      </w:r>
      <w:r>
        <w:t>”</w:t>
      </w:r>
    </w:p>
    <w:p w:rsidR="00EA65B3" w:rsidRDefault="00EA65B3" w:rsidP="005A72FB">
      <w:r>
        <w:t>A concessão “</w:t>
      </w:r>
      <w:r>
        <w:t>apresentava como requisito um conjunto de diretrizes à empresa concessionária para o desenvolvimento e implantação de um sistema integrado de gestão, monitoramento e informação do transporte coletivo municipal – denominado Sistema Inteligente de Transporte (SITBus)</w:t>
      </w:r>
      <w:r>
        <w:t>”</w:t>
      </w:r>
    </w:p>
    <w:p w:rsidR="00D623E8" w:rsidRDefault="00D623E8" w:rsidP="005A72FB">
      <w:r>
        <w:lastRenderedPageBreak/>
        <w:t>20 – A TACOM</w:t>
      </w:r>
    </w:p>
    <w:p w:rsidR="00D623E8" w:rsidRDefault="00D623E8" w:rsidP="005A72FB">
      <w:r>
        <w:t>“</w:t>
      </w:r>
      <w:r>
        <w:t>TACOM é uma empresa que desenvolve tecnologia para o transporte público contratada pelas concessionárias para desenvolver o SITBus</w:t>
      </w:r>
      <w:r>
        <w:t>”</w:t>
      </w:r>
    </w:p>
    <w:p w:rsidR="00EA65B3" w:rsidRDefault="00C93629" w:rsidP="005A72FB">
      <w:r>
        <w:t>21 – O hardware da TACOM</w:t>
      </w:r>
    </w:p>
    <w:p w:rsidR="00C93629" w:rsidRDefault="00C93629" w:rsidP="005A72FB">
      <w:r>
        <w:t>“</w:t>
      </w:r>
      <w:r>
        <w:t>O validador de bilhete eletrônico (Figura 1) desenvolvido pela TACOM é um hardware compacto, com tela interativa de 7” e possui conexões 3G, 4G e Wi-Fi nativas.</w:t>
      </w:r>
      <w:r>
        <w:t>”</w:t>
      </w:r>
    </w:p>
    <w:p w:rsidR="00C93629" w:rsidRDefault="00C93629" w:rsidP="005A72FB">
      <w:r>
        <w:t>22 – SIUMobile</w:t>
      </w:r>
    </w:p>
    <w:p w:rsidR="00C93629" w:rsidRDefault="00C93629" w:rsidP="005A72FB">
      <w:r>
        <w:t>“</w:t>
      </w:r>
      <w:r>
        <w:t>Seu último produto, SIUmobile, é um aplicativo para dispositivos móveis que permite a consulta de horários de ônibus, o planejamento de itinerários de ponto a ponto e o acompanhamento em tempo real da localização do ônibus.</w:t>
      </w:r>
      <w:r>
        <w:t>”</w:t>
      </w:r>
    </w:p>
    <w:p w:rsidR="00C93629" w:rsidRDefault="00C93629" w:rsidP="005A72FB">
      <w:r>
        <w:t>“</w:t>
      </w:r>
      <w:r>
        <w:t xml:space="preserve">, o usuário não precisa mais esperar o ônibus no ponto, pode acompanhá-lo em </w:t>
      </w:r>
      <w:r>
        <w:rPr>
          <w:b/>
        </w:rPr>
        <w:t>tempo real</w:t>
      </w:r>
      <w:r>
        <w:t xml:space="preserve"> e se dirigir ao ponto pouco antes do embarque.</w:t>
      </w:r>
      <w:r>
        <w:t>”</w:t>
      </w:r>
    </w:p>
    <w:p w:rsidR="00C93629" w:rsidRDefault="00C93629" w:rsidP="005A72FB">
      <w:r>
        <w:t>23 – Dados gerados pelo SIUMobile</w:t>
      </w:r>
    </w:p>
    <w:p w:rsidR="00C93629" w:rsidRDefault="00C93629" w:rsidP="005A72FB">
      <w:r>
        <w:t>“</w:t>
      </w:r>
      <w:r>
        <w:t xml:space="preserve">A coleta de dados em </w:t>
      </w:r>
      <w:r>
        <w:rPr>
          <w:b/>
        </w:rPr>
        <w:t xml:space="preserve">tempo real </w:t>
      </w:r>
      <w:r>
        <w:t>permite criar soluções para gerenciamento e planejamento imediatos</w:t>
      </w:r>
      <w:r>
        <w:t>”</w:t>
      </w:r>
    </w:p>
    <w:p w:rsidR="00C93629" w:rsidRDefault="00C93629" w:rsidP="005A72FB">
      <w:r>
        <w:t>“</w:t>
      </w:r>
      <w:r>
        <w:t>permitindo que planos rígidos sejam substituídos por planos mais flexíveis</w:t>
      </w:r>
      <w:r>
        <w:t>”</w:t>
      </w:r>
    </w:p>
    <w:p w:rsidR="00C93629" w:rsidRDefault="00C93629" w:rsidP="00C93629">
      <w:pPr>
        <w:jc w:val="both"/>
      </w:pPr>
      <w:r>
        <w:t>“</w:t>
      </w:r>
      <w:r w:rsidRPr="00C93629">
        <w:t xml:space="preserve">Deste modo, assim como a Uber trabalha as demandas em tempo real na relação entre veículos disponíveis e destino dos usuários, os sistemas de transporte público eventualmente poderão organizar rotas instantâneas traçadas em tempo real sob demanda dos usuários. </w:t>
      </w:r>
      <w:r>
        <w:t xml:space="preserve">“ </w:t>
      </w:r>
    </w:p>
    <w:p w:rsidR="005A72FB" w:rsidRDefault="00C93629">
      <w:r>
        <w:t>24 – necessidade de um Estado ativo e propositor de políticas para esse ambiente</w:t>
      </w:r>
    </w:p>
    <w:p w:rsidR="00C93629" w:rsidRDefault="00C93629">
      <w:r>
        <w:t>“</w:t>
      </w:r>
      <w:r>
        <w:t>Estas perspectivas de futuro possíveis precisam, por outro lado, ser fomentadas por políticas que se antecipam às possibilidades da tecnologia instalada e fornecem guias para a implementação de soluções no futuro.</w:t>
      </w:r>
      <w:r>
        <w:t>”</w:t>
      </w:r>
    </w:p>
    <w:p w:rsidR="00C93629" w:rsidRDefault="00006F1A">
      <w:r>
        <w:t>25 – Acesso aos dados na concessão</w:t>
      </w:r>
    </w:p>
    <w:p w:rsidR="00006F1A" w:rsidRDefault="00006F1A">
      <w:r>
        <w:t>26 – Acesso aos dados na concessão</w:t>
      </w:r>
    </w:p>
    <w:p w:rsidR="00006F1A" w:rsidRDefault="00006F1A">
      <w:r>
        <w:t>“</w:t>
      </w:r>
      <w:r>
        <w:t>diz claramente sobre a disponibilização de dados em</w:t>
      </w:r>
      <w:r>
        <w:rPr>
          <w:b/>
        </w:rPr>
        <w:t xml:space="preserve"> tempo real</w:t>
      </w:r>
      <w:r>
        <w:t>.</w:t>
      </w:r>
      <w:r>
        <w:t>”</w:t>
      </w:r>
    </w:p>
    <w:p w:rsidR="0074687B" w:rsidRDefault="0074687B"/>
    <w:p w:rsidR="00E45F41" w:rsidRDefault="00006F1A">
      <w:r>
        <w:t>27 – Considerações finais</w:t>
      </w:r>
      <w:bookmarkStart w:id="0" w:name="_GoBack"/>
      <w:bookmarkEnd w:id="0"/>
    </w:p>
    <w:p w:rsidR="00235E69" w:rsidRDefault="00235E69"/>
    <w:sectPr w:rsidR="00235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69"/>
    <w:rsid w:val="00006F1A"/>
    <w:rsid w:val="00235E69"/>
    <w:rsid w:val="003207CA"/>
    <w:rsid w:val="0042185C"/>
    <w:rsid w:val="004C0390"/>
    <w:rsid w:val="005A72FB"/>
    <w:rsid w:val="00712FD8"/>
    <w:rsid w:val="0074687B"/>
    <w:rsid w:val="00756BD1"/>
    <w:rsid w:val="00912671"/>
    <w:rsid w:val="00B527D1"/>
    <w:rsid w:val="00C93629"/>
    <w:rsid w:val="00CC239A"/>
    <w:rsid w:val="00D623E8"/>
    <w:rsid w:val="00DB54D9"/>
    <w:rsid w:val="00DF27E1"/>
    <w:rsid w:val="00E45F41"/>
    <w:rsid w:val="00E87153"/>
    <w:rsid w:val="00EA65B3"/>
    <w:rsid w:val="00EC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dap">
    <w:name w:val="Rodapé"/>
    <w:basedOn w:val="Footer"/>
    <w:link w:val="RodapChar"/>
    <w:autoRedefine/>
    <w:qFormat/>
    <w:rsid w:val="00DF27E1"/>
    <w:pPr>
      <w:tabs>
        <w:tab w:val="clear" w:pos="4252"/>
        <w:tab w:val="clear" w:pos="8504"/>
        <w:tab w:val="center" w:pos="4419"/>
        <w:tab w:val="right" w:pos="8838"/>
      </w:tabs>
      <w:suppressAutoHyphens/>
      <w:autoSpaceDE w:val="0"/>
      <w:jc w:val="center"/>
    </w:pPr>
    <w:rPr>
      <w:rFonts w:eastAsia="MS Mincho" w:cs="Arial"/>
      <w:lang w:eastAsia="zh-CN"/>
    </w:rPr>
  </w:style>
  <w:style w:type="character" w:customStyle="1" w:styleId="RodapChar">
    <w:name w:val="Rodapé Char"/>
    <w:basedOn w:val="FooterChar"/>
    <w:link w:val="Rodap"/>
    <w:rsid w:val="00DF27E1"/>
    <w:rPr>
      <w:rFonts w:eastAsia="MS Mincho" w:cs="Arial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DF2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dap">
    <w:name w:val="Rodapé"/>
    <w:basedOn w:val="Footer"/>
    <w:link w:val="RodapChar"/>
    <w:autoRedefine/>
    <w:qFormat/>
    <w:rsid w:val="00DF27E1"/>
    <w:pPr>
      <w:tabs>
        <w:tab w:val="clear" w:pos="4252"/>
        <w:tab w:val="clear" w:pos="8504"/>
        <w:tab w:val="center" w:pos="4419"/>
        <w:tab w:val="right" w:pos="8838"/>
      </w:tabs>
      <w:suppressAutoHyphens/>
      <w:autoSpaceDE w:val="0"/>
      <w:jc w:val="center"/>
    </w:pPr>
    <w:rPr>
      <w:rFonts w:eastAsia="MS Mincho" w:cs="Arial"/>
      <w:lang w:eastAsia="zh-CN"/>
    </w:rPr>
  </w:style>
  <w:style w:type="character" w:customStyle="1" w:styleId="RodapChar">
    <w:name w:val="Rodapé Char"/>
    <w:basedOn w:val="FooterChar"/>
    <w:link w:val="Rodap"/>
    <w:rsid w:val="00DF27E1"/>
    <w:rPr>
      <w:rFonts w:eastAsia="MS Mincho" w:cs="Arial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DF2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1788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Borges</dc:creator>
  <cp:lastModifiedBy>Jess Borges</cp:lastModifiedBy>
  <cp:revision>10</cp:revision>
  <dcterms:created xsi:type="dcterms:W3CDTF">2018-11-02T17:00:00Z</dcterms:created>
  <dcterms:modified xsi:type="dcterms:W3CDTF">2018-11-03T06:00:00Z</dcterms:modified>
</cp:coreProperties>
</file>