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23" w:rsidRDefault="00631923" w:rsidP="00631923">
      <w:pPr>
        <w:pStyle w:val="normal0"/>
        <w:pBdr>
          <w:top w:val="nil"/>
          <w:left w:val="nil"/>
          <w:bottom w:val="nil"/>
          <w:right w:val="nil"/>
          <w:between w:val="nil"/>
        </w:pBdr>
        <w:spacing w:before="120" w:after="0" w:line="240" w:lineRule="auto"/>
        <w:ind w:left="2268" w:firstLine="0"/>
        <w:jc w:val="left"/>
        <w:rPr>
          <w:b/>
          <w:color w:val="4686A3"/>
          <w:sz w:val="28"/>
          <w:szCs w:val="28"/>
        </w:rPr>
      </w:pPr>
      <w:r>
        <w:rPr>
          <w:b/>
          <w:color w:val="4686A3"/>
          <w:sz w:val="28"/>
          <w:szCs w:val="28"/>
        </w:rPr>
        <w:t>Tecnologia e Política da Internet das Coisas para o Sistema de Transporte Público de Belo Horizonte</w:t>
      </w:r>
    </w:p>
    <w:p w:rsidR="006D1D8D" w:rsidRDefault="006D1D8D" w:rsidP="0022680F">
      <w:pPr>
        <w:spacing w:after="217" w:line="240" w:lineRule="auto"/>
        <w:ind w:left="2268" w:firstLine="0"/>
        <w:jc w:val="left"/>
      </w:pPr>
    </w:p>
    <w:p w:rsidR="00572A36" w:rsidRDefault="00572A36" w:rsidP="0022680F">
      <w:pPr>
        <w:spacing w:after="217" w:line="240" w:lineRule="auto"/>
        <w:ind w:left="2268" w:firstLine="0"/>
        <w:jc w:val="left"/>
      </w:pPr>
    </w:p>
    <w:p w:rsidR="00301DEC" w:rsidRPr="00357EE5" w:rsidRDefault="005A7B7C" w:rsidP="008A44D1">
      <w:pPr>
        <w:pStyle w:val="SIGraDiAutor"/>
      </w:pPr>
      <w:r w:rsidRPr="006D1D8D">
        <w:rPr>
          <w:color w:val="FF0000"/>
        </w:rPr>
        <w:t xml:space="preserve">OMITIR </w:t>
      </w:r>
      <w:r w:rsidR="00301DEC" w:rsidRPr="006D1D8D">
        <w:t xml:space="preserve">Primeiro </w:t>
      </w:r>
      <w:r w:rsidR="00301DEC" w:rsidRPr="008A44D1">
        <w:t>Autor</w:t>
      </w:r>
      <w:r w:rsidR="00301DEC" w:rsidRPr="006D1D8D">
        <w:t xml:space="preserve"> em Ar</w:t>
      </w:r>
      <w:r w:rsidR="005E4484" w:rsidRPr="006D1D8D">
        <w:softHyphen/>
      </w:r>
      <w:r w:rsidR="00301DEC" w:rsidRPr="006D1D8D">
        <w:t>ial 9, Bold</w:t>
      </w:r>
    </w:p>
    <w:p w:rsidR="00301DEC" w:rsidRPr="00357EE5" w:rsidRDefault="00301DEC" w:rsidP="0022680F">
      <w:pPr>
        <w:pStyle w:val="SIGradiAddress"/>
      </w:pPr>
      <w:r w:rsidRPr="00357EE5">
        <w:t>Instituição | País | Endereço de e-mail</w:t>
      </w:r>
      <w:r w:rsidR="008A44D1" w:rsidRPr="00357EE5">
        <w:t>em Arial 9</w:t>
      </w:r>
    </w:p>
    <w:p w:rsidR="00301DEC" w:rsidRPr="00357EE5" w:rsidRDefault="005A7B7C" w:rsidP="0022680F">
      <w:pPr>
        <w:pStyle w:val="SIGraDiAutor"/>
      </w:pPr>
      <w:r w:rsidRPr="006D1D8D">
        <w:rPr>
          <w:color w:val="FF0000"/>
        </w:rPr>
        <w:t>OMITIR</w:t>
      </w:r>
      <w:r w:rsidR="008A44D1">
        <w:t>Segundo</w:t>
      </w:r>
      <w:r w:rsidR="00301DEC" w:rsidRPr="006D1D8D">
        <w:t xml:space="preserve"> Autor em Arial 9, Bold</w:t>
      </w:r>
    </w:p>
    <w:p w:rsidR="00301DEC" w:rsidRPr="00357EE5" w:rsidRDefault="00301DEC" w:rsidP="0022680F">
      <w:pPr>
        <w:pStyle w:val="SIGradiAddress"/>
      </w:pPr>
      <w:r w:rsidRPr="00357EE5">
        <w:t>Instituição | País | Endereço de e-mail</w:t>
      </w:r>
      <w:r w:rsidR="008A44D1" w:rsidRPr="00357EE5">
        <w:t>em Arial 9</w:t>
      </w:r>
    </w:p>
    <w:p w:rsidR="00301DEC" w:rsidRPr="00357EE5" w:rsidRDefault="005A7B7C" w:rsidP="0022680F">
      <w:pPr>
        <w:pStyle w:val="SIGraDiAutor"/>
      </w:pPr>
      <w:r w:rsidRPr="006D1D8D">
        <w:rPr>
          <w:color w:val="FF0000"/>
        </w:rPr>
        <w:t>OMITIR</w:t>
      </w:r>
      <w:r w:rsidR="00301DEC" w:rsidRPr="006D1D8D">
        <w:t>Terceiro Autor em Arial 9, Bold</w:t>
      </w:r>
    </w:p>
    <w:p w:rsidR="00301DEC" w:rsidRPr="00357EE5" w:rsidRDefault="00301DEC" w:rsidP="0022680F">
      <w:pPr>
        <w:pStyle w:val="SIGradiAddress"/>
      </w:pPr>
      <w:r w:rsidRPr="00357EE5">
        <w:t>Instituição | País | Endereço de e-mail</w:t>
      </w:r>
      <w:r w:rsidR="008A44D1" w:rsidRPr="00357EE5">
        <w:t>em Arial 9</w:t>
      </w:r>
    </w:p>
    <w:p w:rsidR="00301DEC" w:rsidRPr="004043CC" w:rsidRDefault="005A7B7C" w:rsidP="0022680F">
      <w:pPr>
        <w:pStyle w:val="SIGraDiAutor"/>
      </w:pPr>
      <w:r w:rsidRPr="006D1D8D">
        <w:rPr>
          <w:color w:val="FF0000"/>
        </w:rPr>
        <w:t xml:space="preserve">OMITIR </w:t>
      </w:r>
      <w:r w:rsidR="00301DEC" w:rsidRPr="006D1D8D">
        <w:t>Quarto Autor em Arial 9, Bold</w:t>
      </w:r>
    </w:p>
    <w:p w:rsidR="00301DEC" w:rsidRPr="00357EE5" w:rsidRDefault="00301DEC" w:rsidP="008A44D1">
      <w:pPr>
        <w:pStyle w:val="SIGradiAddress"/>
      </w:pPr>
      <w:r w:rsidRPr="008A44D1">
        <w:t>Instituição</w:t>
      </w:r>
      <w:r w:rsidRPr="00357EE5">
        <w:t xml:space="preserve"> | País | Endereço de e-mail</w:t>
      </w:r>
      <w:r w:rsidR="008A44D1" w:rsidRPr="00357EE5">
        <w:t>em Arial 9</w:t>
      </w:r>
    </w:p>
    <w:p w:rsidR="00301DEC" w:rsidRDefault="00301DEC" w:rsidP="0022680F">
      <w:pPr>
        <w:pStyle w:val="SIGraDiInstituc"/>
        <w:ind w:left="2268"/>
      </w:pPr>
    </w:p>
    <w:p w:rsidR="00460488" w:rsidRPr="00A25020" w:rsidRDefault="00F4504B" w:rsidP="0022680F">
      <w:pPr>
        <w:spacing w:after="45" w:line="240" w:lineRule="auto"/>
        <w:ind w:left="2268" w:firstLine="0"/>
        <w:jc w:val="left"/>
      </w:pPr>
      <w:r w:rsidRPr="00A25020">
        <w:tab/>
      </w:r>
    </w:p>
    <w:p w:rsidR="00460488" w:rsidRDefault="00F4504B" w:rsidP="0022680F">
      <w:pPr>
        <w:pStyle w:val="SIGraDiAbstract"/>
      </w:pPr>
      <w:r>
        <w:t xml:space="preserve">Abstract  </w:t>
      </w:r>
    </w:p>
    <w:p w:rsidR="00631923" w:rsidRDefault="00631923" w:rsidP="000B52C8">
      <w:pPr>
        <w:pStyle w:val="SIGraDiTextAbst"/>
      </w:pPr>
      <w:r>
        <w:t>Partindo de um posicionamento crítico referente às Cidades Inteligentes, este trabalho apresenta um panorama sobre as políticas brasileiras de Internet das Coisas (</w:t>
      </w:r>
      <w:r>
        <w:rPr>
          <w:i/>
        </w:rPr>
        <w:t>Internet-of-Things</w:t>
      </w:r>
      <w:r>
        <w:t>) - IoT aplicadas aos sistemas de transporte público, tendo como estudo de caso a cidade de Belo Horizonte. Considerando a infraestrutura já instalada de IoT associada ao sistema de transporte público de Belo Horizonte, analisamos criticamente seu uso e potencial e buscamos entender a sua dimensão política, principalmente no que diz respeito às políticas de uso, distribuição e compartilhamento dos dados coletados entre usuários, poder público e empresas que integram o sistema de transporte.</w:t>
      </w:r>
      <w:r>
        <w:rPr>
          <w:color w:val="595959"/>
          <w:szCs w:val="18"/>
        </w:rPr>
        <w:t xml:space="preserve"> </w:t>
      </w:r>
    </w:p>
    <w:p w:rsidR="00460488" w:rsidRPr="00A25020" w:rsidRDefault="00631923" w:rsidP="00631923">
      <w:pPr>
        <w:pStyle w:val="SIGraDiTextKey"/>
      </w:pPr>
      <w:r>
        <w:rPr>
          <w:b/>
          <w:color w:val="595959"/>
          <w:szCs w:val="16"/>
        </w:rPr>
        <w:t>Keywords</w:t>
      </w:r>
      <w:r>
        <w:rPr>
          <w:color w:val="595959"/>
          <w:szCs w:val="16"/>
        </w:rPr>
        <w:t xml:space="preserve">: </w:t>
      </w:r>
      <w:r>
        <w:rPr>
          <w:szCs w:val="16"/>
        </w:rPr>
        <w:t>sistemas de transporte urbano; tecnopolíticas; internet das coisas; cidades inteligentes; cidade instantânea.</w:t>
      </w:r>
    </w:p>
    <w:p w:rsidR="00460488" w:rsidRDefault="00911E19">
      <w:r>
        <w:rPr>
          <w:noProof/>
        </w:rPr>
        <w:pict>
          <v:rect id="Retângulo 9" o:spid="_x0000_s1026" style="position:absolute;left:0;text-align:left;margin-left:567.55pt;margin-top:434.9pt;width:22.95pt;height:114.5pt;z-index:25166745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" fillcolor="white [3212]" stroked="f" strokeweight="1pt">
            <w10:wrap anchorx="page" anchory="page"/>
            <w10:anchorlock/>
          </v:rect>
        </w:pict>
      </w:r>
    </w:p>
    <w:p w:rsidR="00CC281C" w:rsidRPr="00A25020" w:rsidRDefault="00CC281C">
      <w:pPr>
        <w:sectPr w:rsidR="00CC281C" w:rsidRPr="00A25020" w:rsidSect="00B81292">
          <w:headerReference w:type="even" r:id="rId8"/>
          <w:headerReference w:type="default" r:id="rId9"/>
          <w:footerReference w:type="even" r:id="rId10"/>
          <w:footerReference w:type="default" r:id="rId11"/>
          <w:headerReference w:type="first" r:id="rId12"/>
          <w:footerReference w:type="first" r:id="rId13"/>
          <w:pgSz w:w="11900" w:h="16820"/>
          <w:pgMar w:top="1134" w:right="1077" w:bottom="1225" w:left="1134" w:header="720" w:footer="720" w:gutter="0"/>
          <w:cols w:space="720"/>
          <w:titlePg/>
          <w:docGrid w:linePitch="245"/>
        </w:sectPr>
      </w:pPr>
    </w:p>
    <w:p w:rsidR="00460488" w:rsidRPr="00C607CC" w:rsidRDefault="00631923" w:rsidP="00CC1F9A">
      <w:pPr>
        <w:pStyle w:val="SIGraDiT2"/>
      </w:pPr>
      <w:r>
        <w:lastRenderedPageBreak/>
        <w:t>um passo atrás</w:t>
      </w:r>
    </w:p>
    <w:p w:rsidR="00631923" w:rsidRDefault="00631923" w:rsidP="000B52C8">
      <w:r>
        <w:t xml:space="preserve">Este trabalho é uma pesquisa do processo de construção das políticas para dados abertos, IoT e economia do compartilhamento no país. Identificamos de um lado o movimento regulatório do governo pressionado por comunidades e do outro, iniciativas empresariais que deformam o debate político, regulatório e público. Logo, nossas políticas parecem estar (quase) sempre reagindo às iniciativas privadas, que se colocam frequentemente um passo à frente. No caso da economia do compartilhamento, por exemplo, tecnologias de disrupção de empresas como Uber e AirBnb deformam o debate político, se considerarmos que sua forma inicial, ou seja, sua iniciativa é privada e não pública. </w:t>
      </w:r>
    </w:p>
    <w:p w:rsidR="00460488" w:rsidRDefault="00631923" w:rsidP="000B52C8">
      <w:r>
        <w:t xml:space="preserve">A Uber chegou ao Brasil em 2014 e, em apenas 4 anos, movimentou o congresso e o senado em torno da polêmica PL 5587/2016, que regulamenta o serviço no país. Várias emendas foram aprovadas ao longo dos 2 anos de debate assegurando a viabilidade do serviço numa disputa entre aplicativos, taxistas entre outras comunidades ameaçadas. Em março de 2018, o presidente Temer sancionou a Lei que deu poder aos municípios para regulamentar a Uber. É inegável que a Uber, juntamente com outras iniciativas semelhantes, tem feito uma política para a mobilidade urbana. Na contramão de um Estado ativo que propõe e regulamenta as tecnologias disruptivas, tendo como matriz fundamental os interesses comuns e não os privados, a </w:t>
      </w:r>
      <w:r>
        <w:lastRenderedPageBreak/>
        <w:t>regulamentação no Brasil tem sido sempre reativa como um acordo posterior minimizador de danos.</w:t>
      </w:r>
    </w:p>
    <w:p w:rsidR="00460488" w:rsidRDefault="000B52C8" w:rsidP="00CC1F9A">
      <w:pPr>
        <w:pStyle w:val="SIGraDiT2"/>
      </w:pPr>
      <w:r>
        <w:t>Internet das coisas (Internet-of-things – iot)</w:t>
      </w:r>
    </w:p>
    <w:p w:rsidR="000B52C8" w:rsidRDefault="000B52C8" w:rsidP="000B52C8">
      <w:r>
        <w:t xml:space="preserve">Internet das coisas (Internet-of-Things - IoT) é um conceito que se refere à conexão em rede entre objetos físicos, como carros, eletrodomésticos, edifícios, equipamentos médicos, câmeras, entre outros. É utilizado nos mais diversos setores com intuito de otimizar os processos através de uma ampla produção de dados, que, aliada ao seu processamento em grande volume em técnicas de big data, pode dar conta de um entendimento maior e em tempo real do ambiente em que IoT é empregada. As aplicações geralmente envolvem interação direta com o ambiente, através da leitura de parâmetros reais a partir de sensores, ou da interferência no ambiente por meio de atuadores. Um dos exemplos de solução na escala do município é a instalação de lixeiras com sensores que informam o volume preenchido, trazendo à coleta de lixo um caráter adaptável e </w:t>
      </w:r>
      <w:r>
        <w:rPr>
          <w:b/>
        </w:rPr>
        <w:t>instantâneo</w:t>
      </w:r>
      <w:r>
        <w:t>, mudando a lógica de desenho das rotas dos caminhões.</w:t>
      </w:r>
    </w:p>
    <w:p w:rsidR="000B52C8" w:rsidRDefault="000B52C8" w:rsidP="000B52C8">
      <w:r>
        <w:t xml:space="preserve">Em 2018, o Banco Nacional do Desenvolvimento (BNDES), em parceria com o Ministério da Ciência, Tecnologia Inovações e Comunicações (MCTIC) e com responsabilidade técnica do consórcio McKinsey/Fundação CPqD/Pereira Neto Macedo, publicou um documento com um diagnóstico e a </w:t>
      </w:r>
      <w:r>
        <w:lastRenderedPageBreak/>
        <w:t>proposição de plano de ação estratégico para o Brasil em Internet das Coisas (Internet-of-Things - IoT). Este documento apresenta o que ele denomina como eixos prioritários de aplicação da IoT, sendo eles Saúde, Rural e Cidades Inteligentes, que, por sua vez, inclui a mobilidade urbana. Ao citar nominalmente a idéia de Cidade Inteligente como ambiente prioritário no qual se inclui a mobilidade urbana, acabamos sendo obrigados a investigar e a nos posicionar quanto ao que entendemos por Cidade Inteligente.   Mas é importante destacar que a mobilidade urbana, segundo o documento, pode incluir ou não um sistema de transporte público e abre a possibilidade de termos um sistema de transporte urbano eficiente, privado, não coletivo, individualizado e compartilhado – tal como os veículos autônomos - AV (</w:t>
      </w:r>
      <w:r>
        <w:rPr>
          <w:i/>
        </w:rPr>
        <w:t>autonomous vehicles</w:t>
      </w:r>
      <w:r>
        <w:t>) ou os veículos autônomos compartilhados - SAV (</w:t>
      </w:r>
      <w:r>
        <w:rPr>
          <w:i/>
        </w:rPr>
        <w:t>shared autonomous vehicles</w:t>
      </w:r>
      <w:r>
        <w:t>) (BERRADA &amp; LAURENT, 2017). O docum</w:t>
      </w:r>
      <w:r w:rsidR="00EC0E17">
        <w:t xml:space="preserve">ento do BNDES não avança muito </w:t>
      </w:r>
      <w:r>
        <w:t>em um indicativo de política claro. O governo britânico</w:t>
      </w:r>
      <w:r w:rsidR="00EC0E17">
        <w:t>,</w:t>
      </w:r>
      <w:r>
        <w:t xml:space="preserve"> por outro lado, se antecipou e criou uma agência para desenvolver pesquisas e políticas para veículos autônomos (</w:t>
      </w:r>
      <w:r>
        <w:rPr>
          <w:i/>
        </w:rPr>
        <w:t>Centre for Connected and Autonomous Vehicles</w:t>
      </w:r>
      <w:r>
        <w:t>) e já introduziu uma legislação no parlamento para casos de acidente envolvendo um veículo autônomo em teste (METZ, 2018, p. 7). Também percebemos que uma das maiores preocupações do documento é re</w:t>
      </w:r>
      <w:r w:rsidR="00EC0E17">
        <w:t>ferente à</w:t>
      </w:r>
      <w:r>
        <w:t xml:space="preserve"> proteção dos dados, no caso, as políticas de privacidade, que são debatidas amplamente. Diante destas constatações acerca da IoT, vamos discutir um pouco mais sobre Cidades Inteligentes e proteção dos dados. </w:t>
      </w:r>
    </w:p>
    <w:p w:rsidR="000B52C8" w:rsidRDefault="000B52C8" w:rsidP="000B52C8">
      <w:pPr>
        <w:pStyle w:val="SIGraDiT2"/>
      </w:pPr>
      <w:r>
        <w:t>Um produto para os problemas da cidade</w:t>
      </w:r>
    </w:p>
    <w:p w:rsidR="000B52C8" w:rsidRDefault="000B52C8" w:rsidP="000B52C8">
      <w:pPr>
        <w:pStyle w:val="normal0"/>
      </w:pPr>
      <w:r>
        <w:t>Cidades Inteligentes (</w:t>
      </w:r>
      <w:r>
        <w:rPr>
          <w:i/>
        </w:rPr>
        <w:t>Smart Cities</w:t>
      </w:r>
      <w:r>
        <w:t>) é um termo que tem sido usado para se referir à aplicação da tecnologia informacional - TI e da computação ubíqua à infraestrutura ou à administração das cidades. É uma iniciativa da indústria de tecnologia da informação, tendo como seus maiores incentivadores a IBM e a CISCO. Ao buscarmos referências acadêmicas sobre o tema, percebemos</w:t>
      </w:r>
      <w:r w:rsidR="00EC0E17">
        <w:t>,</w:t>
      </w:r>
      <w:r>
        <w:t xml:space="preserve"> por um lado, visões otimistas desta iniciativa, como Townsend (2013)</w:t>
      </w:r>
      <w:r w:rsidR="00EC0E17">
        <w:t>,</w:t>
      </w:r>
      <w:r>
        <w:t xml:space="preserve"> que adota uma abordagem mais abrangente, incluindo iniciativas </w:t>
      </w:r>
      <w:r>
        <w:rPr>
          <w:i/>
        </w:rPr>
        <w:t>bottom-up</w:t>
      </w:r>
      <w:r>
        <w:t>, abertura de dados governamentais e incentivo a sistemas de código aberto, e</w:t>
      </w:r>
      <w:r w:rsidR="00EC0E17">
        <w:t>,</w:t>
      </w:r>
      <w:r>
        <w:t xml:space="preserve"> por outro lado, Greenfield (2013), que restringe o alcance da expressão a exemplos paradigmáticos de cidades totalmente controladas por gigantes industriais, como as descritas acima, preferindo reunir propostas divergentes sob outras classificações numa visão crítica e contrária às iniciativas empresariais - </w:t>
      </w:r>
      <w:r>
        <w:rPr>
          <w:i/>
        </w:rPr>
        <w:t>Against the Smart City</w:t>
      </w:r>
      <w:r>
        <w:t xml:space="preserve"> (SÁ, 2015, p.54). </w:t>
      </w:r>
    </w:p>
    <w:p w:rsidR="000B52C8" w:rsidRDefault="000B52C8" w:rsidP="000B52C8">
      <w:pPr>
        <w:pStyle w:val="normal0"/>
      </w:pPr>
      <w:r>
        <w:t xml:space="preserve">A IBM (2018) define Cidades Inteligentes como um conjunto de "soluções para o futuro das cidades" e chega a cunhar em seu material publicitário o termo "Planeta Inteligente", para se destacar da concorrência. Percebemos, então, que estamos falando de um </w:t>
      </w:r>
      <w:r>
        <w:rPr>
          <w:b/>
        </w:rPr>
        <w:t>produto</w:t>
      </w:r>
      <w:r w:rsidR="00EC0E17">
        <w:t>. A c</w:t>
      </w:r>
      <w:r>
        <w:t xml:space="preserve">idade inteligente é um </w:t>
      </w:r>
      <w:r>
        <w:rPr>
          <w:b/>
        </w:rPr>
        <w:t>produto</w:t>
      </w:r>
      <w:r>
        <w:t xml:space="preserve"> da indústria de tecnologia da informação que vende soluções para o futuro das cidades nas áreas de planejamento, infraestrutura, programas sociais, saúde e educação. A CISCO vai além e deixa sua campanha mais sensível e humanizada ao vender a Cidade Inteligente sob o </w:t>
      </w:r>
      <w:r>
        <w:rPr>
          <w:i/>
        </w:rPr>
        <w:t>label</w:t>
      </w:r>
      <w:r>
        <w:t xml:space="preserve"> Comunidades Inteligentes Conectadas (</w:t>
      </w:r>
      <w:r>
        <w:rPr>
          <w:i/>
        </w:rPr>
        <w:t>Smart and Connected Communities</w:t>
      </w:r>
      <w:r>
        <w:t xml:space="preserve">), que são "soluções em cidades </w:t>
      </w:r>
      <w:r>
        <w:lastRenderedPageBreak/>
        <w:t xml:space="preserve">inteligentes direcionadas a conectividade, produtividade e segurança para sua comunidade". Percebe-se, portanto, que o marketing é uma estratégia forte de convencimento de que a tecnologia seria a principal ferramenta emancipadora e promissora para solucionar todos os problemas de uma cidade.  </w:t>
      </w:r>
    </w:p>
    <w:p w:rsidR="000B52C8" w:rsidRDefault="000B52C8" w:rsidP="000B52C8">
      <w:pPr>
        <w:pStyle w:val="normal0"/>
      </w:pPr>
      <w:r>
        <w:t>Em Nova Iorque, nos anos 50, Jane Jacobs travou um embate contra Robert Moses e a General Motors, que, assim como a atual indústria de TI, apresentavam soluções (</w:t>
      </w:r>
      <w:r>
        <w:rPr>
          <w:b/>
        </w:rPr>
        <w:t>e produtos</w:t>
      </w:r>
      <w:r>
        <w:t>) para os problemas da cidade. Consideramos importante ler Jacobs, ten</w:t>
      </w:r>
      <w:r w:rsidR="001B7DEC">
        <w:t xml:space="preserve">do em mente que ela falava não </w:t>
      </w:r>
      <w:r>
        <w:t xml:space="preserve">como uma urbanista ou, ainda menos, uma teórica do urbanismo. No último capítulo do livro Morte e Vida de Grandes Cidades (JACOBS, 2011), percebemos que Jacobs não apresenta soluções prontas e está muito distante da forma de pensar de urbanistas contemporâneos tais como Jan Gehl, que, por sua vez, tenta se aproximar de Jacobs apropriando-se de fragmentos de seu discurso e descartando suas ações e seu pensamento crítico. Jacobs foi uma ativista que, em 1961, escreveu um texto com o título: O tipo de problema que é a cidade (JACOBS, 1961, p.477), cujas questões discutidas podem ser vistas claramente no discurso da IBM e da CISCO. Ela fala de comunidades, de conectividade e de problemas. Ela fala da infraestrutura urbana, da mobilidade, da habitação e da segurança. Em 1961 a conectividade das pessoas se dava pelas ruas e calçadas, hoje a conectividade é também online, o mundo mudou, o modo como produzimos a cidade mudou, mas a essência do tipo de problema que é a cidade ainda é o mesmo. Ela fala da forma como olhamos para a cidade, como vemos e lidamos com seus problemas. Moses, IBM, CISCO e Gehl olham para a cidade e reconhecem sua complexidade, mas a enxergam como um ambiente desorganizado, logo, que precisa ser organizado. Isto é declarado no vídeo </w:t>
      </w:r>
      <w:r>
        <w:rPr>
          <w:i/>
        </w:rPr>
        <w:t>Building a Smarter Community</w:t>
      </w:r>
      <w:r>
        <w:t xml:space="preserve"> (CISCO, 2018) da CISCO, por exemplo. Jacobs olhava para</w:t>
      </w:r>
      <w:r w:rsidR="001B7DEC">
        <w:t xml:space="preserve"> a cidade reconhecendo </w:t>
      </w:r>
      <w:r>
        <w:t>sua organização, via a cidade como um problema de complexidade organizada e isso muda radicalmente a forma de ação sobre o ambiente urbano. Para Jacobs, a complexidade não é um problema, é a solução e o que importa é reconhecer a força que há nos processos de auto</w:t>
      </w:r>
      <w:r w:rsidR="001B7DEC">
        <w:t>-</w:t>
      </w:r>
      <w:r>
        <w:t xml:space="preserve">organização dos indivíduos em comunidade no ambiente urbano. Uma comunidade só existe quando </w:t>
      </w:r>
      <w:r w:rsidR="001B7DEC">
        <w:t>há autonomia de seus indivíduos</w:t>
      </w:r>
      <w:r>
        <w:t xml:space="preserve"> e é ali que se encontra a vida de uma cidade. A morte de uma cidade está na anulação da autonomia de suas comunidades e no não reconhecimento de sua capacidade de solucionar seus próprios problemas. "As cidades vivas tem uma estupenda capacidade natural de compreender, comunicar, planejar e inventar o que for necessário para enfrentar as dificuldades." (JACOBS, 2011, p.498)</w:t>
      </w:r>
      <w:r w:rsidR="001B7DEC">
        <w:t>.</w:t>
      </w:r>
      <w:r>
        <w:t xml:space="preserve"> Jacobs via a cidade como um organismo vivo, capaz de se adaptar a mudanças (JOHNSON, 2003, p.38). Ela fundamentou sua crítica no ensaio de Warren Weaver para a Fundação Rockfeller, que criava uma agenda em favor da exploração dos problemas de complexidade organizada (JOHNSON, p.37). Weaver desenvolveu seu ensaio quando esteve em conexão com o grupo dos Laboratórios Bell e conheceu as possibilidades da computação digital com modelagens de comportamento em </w:t>
      </w:r>
      <w:r>
        <w:rPr>
          <w:b/>
        </w:rPr>
        <w:t>tempo real</w:t>
      </w:r>
      <w:r>
        <w:t xml:space="preserve"> (JOHNSON, p.36). A indústria da computação digital fomentou o debate da complexidade organizada e criou dispositivos para modelagem em tempo rea</w:t>
      </w:r>
      <w:r w:rsidR="001B7DEC">
        <w:t>l</w:t>
      </w:r>
      <w:r>
        <w:t xml:space="preserve"> de sistemas complexos. Meio século depois, esta indústria se consolida e nos </w:t>
      </w:r>
      <w:r>
        <w:lastRenderedPageBreak/>
        <w:t>apresenta soluções para o que argumenta serem todos os problemas das nossas cidades. Inicialmente</w:t>
      </w:r>
      <w:r w:rsidR="00A65831">
        <w:t>,</w:t>
      </w:r>
      <w:r>
        <w:t xml:space="preserve"> há um grande otimismo na tecnologia, mas um olhar ligeiramente atento ao marketing das empresas envolvidas</w:t>
      </w:r>
      <w:r w:rsidR="00A65831">
        <w:t xml:space="preserve"> que nos faça</w:t>
      </w:r>
      <w:r>
        <w:t xml:space="preserve"> perceber </w:t>
      </w:r>
      <w:r w:rsidR="00A65831">
        <w:t xml:space="preserve">os objetivos, o olhar e </w:t>
      </w:r>
      <w:r>
        <w:t>a construção política entre empresa e cidadãos talvez não seja tão otimista. Um exemplo é quando a CISCO na primeira frase do seu vídeo diz que "a cidade é uma bagunça", desconsiderando a capacidade de auto</w:t>
      </w:r>
      <w:r w:rsidR="00A65831">
        <w:t>-</w:t>
      </w:r>
      <w:r>
        <w:t xml:space="preserve">organização de seus indivíduos - </w:t>
      </w:r>
      <w:r>
        <w:rPr>
          <w:i/>
        </w:rPr>
        <w:t>bottom-up</w:t>
      </w:r>
      <w:r>
        <w:t xml:space="preserve"> - e propõe uma inteligência que emana ordens num sentido </w:t>
      </w:r>
      <w:r>
        <w:rPr>
          <w:i/>
        </w:rPr>
        <w:t xml:space="preserve">top-down </w:t>
      </w:r>
      <w:r>
        <w:t xml:space="preserve">(CISCO, 2018). </w:t>
      </w:r>
      <w:r w:rsidR="00A65831">
        <w:t>Parece-nos</w:t>
      </w:r>
      <w:r>
        <w:t xml:space="preserve"> que a Cidade Inteligente é um </w:t>
      </w:r>
      <w:r>
        <w:rPr>
          <w:b/>
        </w:rPr>
        <w:t>produto</w:t>
      </w:r>
      <w:r>
        <w:t xml:space="preserve"> industrial que impõe um certo controle sobre o cotidiano do cidadão de modo mais sofisticado e sutil que a que nos foi apresentada pela indústria automobilística ao longo do século XXI. Logo, algo que antes era visto com otimismo, ao ser deformado pelo mercado e transformado em um</w:t>
      </w:r>
      <w:r w:rsidR="00A65831">
        <w:t xml:space="preserve"> produto, traz uma dúvida: Esta</w:t>
      </w:r>
      <w:r>
        <w:t xml:space="preserve">mos diante de uma tecnologia emancipadora, </w:t>
      </w:r>
      <w:r>
        <w:rPr>
          <w:i/>
        </w:rPr>
        <w:t xml:space="preserve">bottom-up, </w:t>
      </w:r>
      <w:r>
        <w:t xml:space="preserve">ou estamos experimentando apenas mais um dispositivo de controle na sociedade do controle de Foucault? Se pensarmos que estamos comprando esta tecnologia emancipatória, questiono que tipo de empresa na nossa sociedade capitalista estaria pronta para vender um produto livre e aberto? Postas estas considerações, passamos a relacionar o que é aberto e o que é livre nesta indústria e chegamos às políticas de dados abertos. </w:t>
      </w:r>
    </w:p>
    <w:p w:rsidR="000B52C8" w:rsidRDefault="000B52C8" w:rsidP="000B52C8">
      <w:pPr>
        <w:pStyle w:val="SIGraDiT2"/>
      </w:pPr>
      <w:r>
        <w:t>Dados (Públicos?)</w:t>
      </w:r>
    </w:p>
    <w:p w:rsidR="000B52C8" w:rsidRDefault="000B52C8" w:rsidP="000B52C8">
      <w:pPr>
        <w:pStyle w:val="normal0"/>
        <w:ind w:left="0" w:firstLine="0"/>
      </w:pPr>
      <w:r>
        <w:t xml:space="preserve">Em um contexto de uso de internet das coisas no âmbito da cidade, a propriedade e o direito sobre os dados aparecem como questões latentes. Novos conceitos de trabalho aparecem, como </w:t>
      </w:r>
      <w:r>
        <w:rPr>
          <w:i/>
        </w:rPr>
        <w:t xml:space="preserve">geospatial labor </w:t>
      </w:r>
      <w:r>
        <w:t xml:space="preserve">(trabalho geoespacial, em tradução livre), que se dá de forma irrefletida ou mesmo involuntária com o uso de dispositivos com georreferenciamento, tais como celulares (Scholz, 2011), e </w:t>
      </w:r>
      <w:r>
        <w:rPr>
          <w:i/>
        </w:rPr>
        <w:t xml:space="preserve">digital labor </w:t>
      </w:r>
      <w:r>
        <w:t>(trabalho digital, em tradução livre), que pode se referir ao trabalho remunerado –  muitas vezes precário, mas já visível e reconhecido – ou mesmo “[...] à ativação do nosso comportamento nas redes sociais como um trabalho monetizável” (“[...] the activation of our behavior on the social web as monetizable labor”) (Scholz, 2013). Kroes &amp; Johannisse (2014) também destacam o papel mais ativo que temos desempenhado na internet, não mais como consumidores, mas criadores e produtores.</w:t>
      </w:r>
    </w:p>
    <w:p w:rsidR="000B52C8" w:rsidRDefault="000B52C8" w:rsidP="000B52C8">
      <w:pPr>
        <w:pStyle w:val="normal0"/>
        <w:ind w:left="0" w:firstLine="0"/>
      </w:pPr>
      <w:r>
        <w:t>Quando usamos aplicativos como Waze e Moovit ou apresentamos o cartão para pagar a passagem no ônibus, produzimos dados dos quais nossa percepção é extremamente difusa, seja em relação à forma de coleta, ao uso ou ao valor econômico e social que eles podem ter. Como filtro para a publicidade personalizada, ferramenta de vigilância para órgãos de segurança ou base para desenvolvimento e refinamento de soluções, tais como reconhecimento facial ou análise de sentimentos, nossos dados são importantes produtos e matérias primas, na maior parte das vezes apropriados e privatizados sem nosso conhecimento.</w:t>
      </w:r>
    </w:p>
    <w:p w:rsidR="000B52C8" w:rsidRDefault="000B52C8" w:rsidP="000B52C8">
      <w:pPr>
        <w:pStyle w:val="normal0"/>
        <w:ind w:left="0" w:firstLine="0"/>
      </w:pPr>
      <w:r>
        <w:t xml:space="preserve">Esse processo tem sido chamado por Foster &amp; McChesney (2018) de </w:t>
      </w:r>
      <w:r>
        <w:rPr>
          <w:i/>
        </w:rPr>
        <w:t xml:space="preserve">surveillance capitalism </w:t>
      </w:r>
      <w:r>
        <w:t xml:space="preserve">(capitalismo de vigilância, em tradução livre) e traz novas questões. De um lado, o debate sobre privacidade, já mais em pauta, é pouco aprofundado no sentido do direito a não ter um dado capturado e, muitas vezes, se limita ao não </w:t>
      </w:r>
      <w:r>
        <w:lastRenderedPageBreak/>
        <w:t>compartilhamento de informações pessoais. Por outro olhar, se considerarmos a produção dos dados como um trabalho desempenhado coletivamente – já que a base normalmente, com exceção do uso para publicidade, tem valor em grande volume – não teriam esses dados uma natureza pública e, portanto, não passível de ser privatizada?</w:t>
      </w:r>
    </w:p>
    <w:p w:rsidR="000B52C8" w:rsidRDefault="000B52C8" w:rsidP="000B52C8">
      <w:pPr>
        <w:pStyle w:val="normal0"/>
        <w:ind w:left="0" w:firstLine="0"/>
      </w:pPr>
      <w:r>
        <w:t>Nesse caminho, a noção de dados abertos tem entrado em debate. Szell &amp; Groß (2014) definem o conceito como a ideia de que alguns dados devem estar disponíveis sem restrições por todos que queiram acessá-los. Para Goldsmith &amp; Crawford (2014), ainda, a aplicação desse conceito nos serviços públicos possibilita aos cidadãos, organizados ou individualmente, entender melhor as ações do governo e participar ativamente no planejamento. Desse ponto de vista, surgem alguns questionamentos sobre a natureza de algumas aplicações como as da Uber, que, além do lucro decorrente da prestação do serviço, tem posse dos dados de maneira exclusiva e se reserva o direito de “fornecer informações aos seus vendedores, consultores, parceiros de marketing, empresas de pesquisa e outros prestadores de serviços ou parceiros comerciais” em sua política de privacidade (Uber Privacy, 2018), deixando clara a possibilidade de monetização em cima dos dados.</w:t>
      </w:r>
    </w:p>
    <w:p w:rsidR="000B52C8" w:rsidRDefault="000B52C8" w:rsidP="000B52C8">
      <w:pPr>
        <w:pStyle w:val="normal0"/>
        <w:ind w:left="0" w:firstLine="0"/>
      </w:pPr>
      <w:r>
        <w:t xml:space="preserve">Neelie Kroes (2012), encarregada responsável pela agenda digital para a Europa, vai além e define </w:t>
      </w:r>
      <w:r w:rsidR="00CA7A75">
        <w:t xml:space="preserve">os </w:t>
      </w:r>
      <w:r>
        <w:t>dados como o novo petróleo, defendendo que a melhor maneira de aproveitar seu valor é possibilitar seu acesso aberto. Sua colocação – embora mais direcionada, naquele contexto, a sublinhar o peso econômico – chama a atenção novamente para o caráter coletivo desse novo tipo de recurso. Em se tratando de água, minério e petróleo, por exemplo, o direito de exploração é concedido coletivamente. Consequentemente, se olha</w:t>
      </w:r>
      <w:r w:rsidR="00CA7A75">
        <w:t>r</w:t>
      </w:r>
      <w:r>
        <w:t xml:space="preserve">mos para os dados dessa perspectiva, começaremos a nos questionar se </w:t>
      </w:r>
      <w:r>
        <w:rPr>
          <w:b/>
        </w:rPr>
        <w:t>o consentimento individual através de termos de privacidade é o melhor modelo de concessão desses recursos tão valiosos para a coletividade</w:t>
      </w:r>
      <w:r>
        <w:t>.</w:t>
      </w:r>
    </w:p>
    <w:p w:rsidR="000B52C8" w:rsidRDefault="000B52C8" w:rsidP="000B52C8">
      <w:pPr>
        <w:pStyle w:val="normal0"/>
        <w:ind w:left="0" w:firstLine="0"/>
      </w:pPr>
      <w:r>
        <w:t>Se voltarmos um pouco mais atrás, encontramos as raízes dessa discussão nas reflexões sobre software livre (</w:t>
      </w:r>
      <w:r>
        <w:rPr>
          <w:i/>
        </w:rPr>
        <w:t>free software</w:t>
      </w:r>
      <w:r>
        <w:t>) e software de código aberto (</w:t>
      </w:r>
      <w:r>
        <w:rPr>
          <w:i/>
        </w:rPr>
        <w:t>open source</w:t>
      </w:r>
      <w:r>
        <w:t>). Esta última noção refere-se à necessidade de acesso ao código de determinada aplicação sob a luz de um critério de transparência, possibilitando a autoproteção contra ações secretas mal intencionadas ou espiãs. Indo além, um software pode ser definido como livre quando segue uma licença que permite ao usuário executar, copiar, distribuir, estudar, modificar e melhorar a aplicação, que não necessariamente é gratuita, sem pedir qualquer autorização (Stallman, 2002). Essas noções não são apenas raízes da id</w:t>
      </w:r>
      <w:r w:rsidR="00CA7A75">
        <w:t>e</w:t>
      </w:r>
      <w:r>
        <w:t>ia de dados abertos e devem ser incluídas mais fortemente nesse debate, colocando em questão o direito a saber quais dados são coletados de nós, quem os acessa e com que finalidade os usa.</w:t>
      </w:r>
    </w:p>
    <w:p w:rsidR="000B52C8" w:rsidRDefault="000B52C8" w:rsidP="000B52C8">
      <w:pPr>
        <w:pStyle w:val="normal0"/>
        <w:ind w:left="0" w:firstLine="0"/>
      </w:pPr>
      <w:r>
        <w:t xml:space="preserve">O artigo 24 do Marco Civil constitui como diretriz para o Poder Público a “adoção preferencial de tecnologias, padrões e formatos abertos e livres” e a “publicidade e disseminação de dados e informações públicos, de forma aberta e estruturada” (Lei nº 12.965, 2014). Anteriormente, a Lei de Acesso à Informação já definiu parâmetros para a divulgação dos dados não sigilosos e </w:t>
      </w:r>
      <w:r>
        <w:lastRenderedPageBreak/>
        <w:t>estabelecia como seria a classificação de sigilo. No mesmo artigo 24, o Marco Civil também assegura o direito de não fornecimento de dados pessoais “salvo mediante consentimento livre, expresso, e informado ou nas hipóteses previstas em lei” (Lei nº 12.965, 2014), que podem incluir a coleta de dados necessária à prestação de serviço público essencial, desde que mantida a finalidade específica. Neste último caso, se o Poder Público quiser usar os dados pessoais para objetivo alheio à prestação do serviço, é necessário obter consentimento do cidadão ou fazer “anonimização, agregação e utilização de técnicas como privacidade diferencial” (McKinsey, Fundação CPqD &amp; Pereira Neto Macedo, 2017</w:t>
      </w:r>
      <w:r w:rsidR="00CA7A75">
        <w:t>, p. 45</w:t>
      </w:r>
      <w:r>
        <w:t>).</w:t>
      </w:r>
    </w:p>
    <w:p w:rsidR="00460488" w:rsidRDefault="000B52C8" w:rsidP="000B52C8">
      <w:r>
        <w:t>Embora forneça considerável embasamento para a adoção de dados abertos, a legislação brasileira ainda não parte de uma perspectiva da informação digital como recurso, ainda menos quando se trata de coleta feita por empresas privadas. A regulação acaba atendo-se apenas a questões como privacidade e não trata da privatização e monetização do trabalho digital ou geoespacial.</w:t>
      </w:r>
    </w:p>
    <w:p w:rsidR="00420760" w:rsidRDefault="00420760" w:rsidP="00420760">
      <w:pPr>
        <w:pStyle w:val="SIGraDiT2"/>
      </w:pPr>
      <w:r>
        <w:t>A BHTRANS, a TACOM e o SIUMobile</w:t>
      </w:r>
    </w:p>
    <w:p w:rsidR="00420760" w:rsidRDefault="00420760" w:rsidP="00420760">
      <w:pPr>
        <w:pStyle w:val="normal0"/>
        <w:ind w:left="0" w:firstLine="0"/>
      </w:pPr>
      <w:r>
        <w:t xml:space="preserve">A Empresa de Transportes e Trânsito de Belo Horizonte - BHTRANS, criada em 1991 pela Lei Municipal n. 5.953, é uma sociedade de economia mista municipal dependente e de capital fechado, composta pelo Município de Belo Horizonte que detém 98% do capital e como acionistas, cada um com 1% a SUDECAP - Superintendência de Desenvolvimento da Capital, autarquia municipal e PRODABEL - Empresa de Informática e Informação do Município de Belo Horizonte S/A, que é sociedade de economia mista dependente e capital fechado. A BHTRANS é responsável pelo planejamento da mobilidade urbana e pela gestão dos contratos de concessão de serviço de transporte público entre outras funções. A concorrência pública n. 131/2008 foi responsável pela concessão do serviço de transporte coletivo convencional por ônibus da capital. Vale ressaltar que o transporte público coletivo da capital mineira é feito predominantemente por ônibus. Esta concessão em seu anexo XIII (BHTRANS, 2008), apresentava como requisito um conjunto de diretrizes à empresa concessionária para o desenvolvimento e implantação de um sistema integrado de gestão, monitoramento e informação do transporte coletivo municipal denominado SITBus – Sistema Inteligente de Transporte do Município de Belo Horizonte. O SITBus, utilizará uma lógica de automatização, sistematização de processos e sistemas necessários à prestação de serviços, informação aos usuários e gestão do sistema de transporte coletivo, baseando-se num conceito amplo e difundido internacionalmente de “Sistemas Inteligentes de Transporte (Intelligent Transportation System - ITS)”. Um dos objetivos do SITBus é possibilitar acesso à informação do transporte coletivo </w:t>
      </w:r>
      <w:r>
        <w:rPr>
          <w:b/>
        </w:rPr>
        <w:t>em tempo real</w:t>
      </w:r>
      <w:r>
        <w:t xml:space="preserve"> para os usuários, co</w:t>
      </w:r>
      <w:r w:rsidR="005F5B1C">
        <w:t>ncessionárias e BHTRANS, dentro</w:t>
      </w:r>
      <w:r>
        <w:t xml:space="preserve"> dos ônibus, em estações e pontos de embarque e desembarque, pela internet e telefonia móvel,</w:t>
      </w:r>
      <w:r w:rsidR="005F5B1C">
        <w:t xml:space="preserve"> antes e durante os deslocamentos</w:t>
      </w:r>
      <w:r>
        <w:t xml:space="preserve"> dos usuários (BHTRANS, 2008, p.6). Segundo o documento, a solução tecnológica a ser implantada deverá disponibilizar à BHTRANS e às concessionárias ferramentas que possibilitem a extração de relatórios de controle e de planejamento, bem como o </w:t>
      </w:r>
      <w:r>
        <w:lastRenderedPageBreak/>
        <w:t xml:space="preserve">acesso a todas as bases de dados gerados pelos sistemas que comporão o SITBus. </w:t>
      </w:r>
    </w:p>
    <w:p w:rsidR="00420760" w:rsidRDefault="00420760" w:rsidP="00420760">
      <w:pPr>
        <w:pStyle w:val="normal0"/>
        <w:ind w:left="0" w:firstLine="0"/>
      </w:pPr>
      <w:r>
        <w:t xml:space="preserve">TACOM é uma empresa que desenvolve tecnologia para o transporte público contratada pelas concessionárias para desenvolver o SITBus. Atua há mais de 40 anos e iniciou suas atividades fabricando tacógrafos. Em 1996, começou sua trajetória no segmento de bilhetagem eletrônica e hoje é referência em soluções integradas de ITS – Sistemas Inteligentes de Transporte. Seu principal produto tem como diferencial a real capacidade de integração das diversas soluções de ITS: sistema de bilhetagem eletrônica; sistema de biometria facial; sistema de gestão do transporte; sistema de informação ao usuário e o sistema de filmagem digital embarcada. O sistema de gestão do transporte possui módulos de rastreamento, gestão operacional e telemetria realizando o acompanhamento online da operação em tempo real com informações georreferenciadas. </w:t>
      </w:r>
    </w:p>
    <w:p w:rsidR="00420760" w:rsidRDefault="00420760" w:rsidP="00420760">
      <w:pPr>
        <w:pStyle w:val="normal0"/>
        <w:ind w:left="0" w:firstLine="0"/>
      </w:pPr>
      <w:r>
        <w:t>O validador de bilhete eletrônico (figura 1) desenvolvido pela TACOM é um hardware compacto, com tela interativa de 7” e que possui conex</w:t>
      </w:r>
      <w:r w:rsidR="005F5B1C">
        <w:t>ões 3G, 4G e Wi-</w:t>
      </w:r>
      <w:r>
        <w:t>Fi nativas. Este validador centraliza todos os processos de ITS, como</w:t>
      </w:r>
      <w:r w:rsidR="005F5B1C">
        <w:t>,</w:t>
      </w:r>
      <w:r>
        <w:t xml:space="preserve"> por exemplo, a informação da localização em tempo real do ônibus por meio de um GPS ou de serviços de localização de redes de telefonia móvel. Associado ao hardware temos o sistema de biometria facial que permite o controle efetivo do uso dos cartões de benefícios, como gratuidade e meia passagem. O validador registra quem está utilizando o cartão e o sistema compara automaticamente as imagens com as fotos do banco de dados, identificando irregularidades. Armazena todas as ocorrências, disponibilizando o histórico de utilizações.</w:t>
      </w:r>
    </w:p>
    <w:p w:rsidR="005F5B1C" w:rsidRDefault="005F5B1C" w:rsidP="005F5B1C">
      <w:pPr>
        <w:pStyle w:val="SIGraDilegendafigura"/>
      </w:pPr>
      <w:r w:rsidRPr="000D5AF6">
        <w:drawing>
          <wp:inline distT="114300" distB="114300" distL="114300" distR="114300">
            <wp:extent cx="2942273" cy="2895271"/>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2942273" cy="2895271"/>
                    </a:xfrm>
                    <a:prstGeom prst="rect">
                      <a:avLst/>
                    </a:prstGeom>
                    <a:ln/>
                  </pic:spPr>
                </pic:pic>
              </a:graphicData>
            </a:graphic>
          </wp:inline>
        </w:drawing>
      </w:r>
    </w:p>
    <w:p w:rsidR="005F5B1C" w:rsidRDefault="005F5B1C" w:rsidP="005F5B1C">
      <w:pPr>
        <w:pStyle w:val="SIGraDilegendafigura"/>
      </w:pPr>
      <w:r>
        <w:t xml:space="preserve">Figura 1. validador de bilhete eletrônico da TACOM. Fonte: TACOM. </w:t>
      </w:r>
    </w:p>
    <w:p w:rsidR="00420760" w:rsidRDefault="00420760" w:rsidP="00420760">
      <w:r>
        <w:t xml:space="preserve">Desde então, percebe-se que a empresa vem desenvolvendo tecnologia e obtendo bastante sucesso com a venda destas soluções e produtos para outras cidades. Seu último produto, SIUmobile, é um aplicativo para dispositivos móveis que permite a consulta de horários de ônibus, o planejamento de itinerários de ponto a ponto e o acompanhamento em tempo real da </w:t>
      </w:r>
      <w:r>
        <w:lastRenderedPageBreak/>
        <w:t>localização do ônibus. O sistema recebe as informações georreferenciadas e calcula o tempo de chegada dos ônibus aos pontos de embarque de passageiros.</w:t>
      </w:r>
    </w:p>
    <w:p w:rsidR="000D5AF6" w:rsidRDefault="000D5AF6" w:rsidP="000D5AF6">
      <w:pPr>
        <w:pStyle w:val="normal0"/>
        <w:ind w:left="0" w:firstLine="0"/>
      </w:pPr>
      <w:r>
        <w:t xml:space="preserve">As informações são programadas por horário e linha, e atualizadas conforme a localização do veículo. Com esta tecnologia em mãos, o usuário não precisa mais esperar o ônibus no ponto, </w:t>
      </w:r>
      <w:r w:rsidR="00BB5845">
        <w:t>pode</w:t>
      </w:r>
      <w:r>
        <w:t xml:space="preserve"> acompanhar em </w:t>
      </w:r>
      <w:r>
        <w:rPr>
          <w:b/>
        </w:rPr>
        <w:t>tempo real</w:t>
      </w:r>
      <w:r>
        <w:t xml:space="preserve"> o ônibus e se dirigir ao ponto no exato momento do embarque. Esta praticidade aumenta a confiabilidade e o conforto no uso do sistema de transporte coletivo. Esta tecnologia está instalada no sistema de transporte público urbano de Belo Horizonte. São sistemas de IoT com coleta de dados em </w:t>
      </w:r>
      <w:r>
        <w:rPr>
          <w:b/>
        </w:rPr>
        <w:t>tempo real</w:t>
      </w:r>
      <w:r>
        <w:t xml:space="preserve">. </w:t>
      </w:r>
    </w:p>
    <w:p w:rsidR="000D5AF6" w:rsidRDefault="000D5AF6" w:rsidP="000D5AF6">
      <w:pPr>
        <w:pStyle w:val="normal0"/>
        <w:ind w:left="0" w:firstLine="0"/>
      </w:pPr>
      <w:r>
        <w:t xml:space="preserve">Esta coleta de dados está gerando um banco de dados histórico que permite aprofundar em análises e desenvolver diretrizes, projetos e soluções. A coleta de dados em </w:t>
      </w:r>
      <w:r>
        <w:rPr>
          <w:b/>
        </w:rPr>
        <w:t xml:space="preserve">tempo real </w:t>
      </w:r>
      <w:r>
        <w:t>permite criar soluções para gerenciamento e planejamento imediatos, bastando para isso que os projetos e os planos de gestão estejam parametrizados para responderem às informações instantâneas e gerarem um retorno de gestão instantâneo permitindo que planos rígidos sejam substituídos por planos mais flexíveis. Para os usuários, a disponibilidade de informações em tempo real na palma da mão estimula o uso do sistema, por fornecer uma maior confiabilidade e maior conforto ao minimizar o tempo gasto em pontos de ônibus esperando o veículo chegar. Isso além do planejamento de rotas com maior precisão nos horários de chegada e saída. Eventualmente, num futuro em que a bilhetagem eletrônica por cartão for substituída para o sistema de pagamento por dispositivos móveis (celulares) – sistema que vem sendo implementado no país no último ano, associado ao uso de aplicações móveis do próprio sistema de transporte urbano, como o SIUmobile –, os dados de origem e destino dos usuários poderão ser trabalhados em tempo real. Deste modo, assim como a Uber trabalha as demandas em tempo real na relação</w:t>
      </w:r>
      <w:r w:rsidR="002503B2">
        <w:t xml:space="preserve"> entre</w:t>
      </w:r>
      <w:r>
        <w:t xml:space="preserve"> veículos disponíveis e destino dos usuários, os sistemas de transporte público eventualmente poderão organizar rotas instantâneas traçadas em tempo real sob demanda dos usuários. </w:t>
      </w:r>
    </w:p>
    <w:p w:rsidR="000D5AF6" w:rsidRDefault="000D5AF6" w:rsidP="000D5AF6">
      <w:pPr>
        <w:pStyle w:val="normal0"/>
        <w:ind w:left="0" w:firstLine="0"/>
      </w:pPr>
      <w:r>
        <w:t>Estas perspectivas de futuro possíveis</w:t>
      </w:r>
      <w:r w:rsidR="002503B2">
        <w:t xml:space="preserve"> precisam, por outro lado, ser</w:t>
      </w:r>
      <w:r>
        <w:t xml:space="preserve"> fomentadas por políticas que se antecipam às possibilidades da tecnologia instalada e fornecem guias para a implementação de soluções no futuro. No dia 21 de fevereiro de 2018 a Uber anunciou uma nova modalidade de serviço, o </w:t>
      </w:r>
      <w:r>
        <w:rPr>
          <w:i/>
        </w:rPr>
        <w:t xml:space="preserve">Uber Express Pool </w:t>
      </w:r>
      <w:r>
        <w:t xml:space="preserve">(UBER, 2018), em que um sistema de transporte utilizando um ônibus é organizado instantaneamente pelo aplicativo, de acordo com a demanda dos usuários. O serviço já pode ser utilizado em Boston, São Francisco, Los Angeles, Washington, Miami, Denver, Philadelphia e San Diego. Logo estamos diante de uma possibilidade de ver os sistemas públicos estarem mais uma vez a um passo atrás de sistemas privados de transporte urbano. </w:t>
      </w:r>
    </w:p>
    <w:p w:rsidR="000D5AF6" w:rsidRDefault="000D5AF6" w:rsidP="000D5AF6">
      <w:pPr>
        <w:pStyle w:val="normal0"/>
      </w:pPr>
      <w:r>
        <w:t xml:space="preserve">Por fim, o Anexo VIII da concessão do sistema de transporte público de Belo Horizonte diz que: </w:t>
      </w:r>
    </w:p>
    <w:p w:rsidR="000D5AF6" w:rsidRDefault="000D5AF6" w:rsidP="000D5AF6">
      <w:pPr>
        <w:pStyle w:val="normal0"/>
      </w:pPr>
      <w:r>
        <w:t xml:space="preserve">"A solução tecnológica a ser implantada deverá disponibilizar à BHTRANS e as CONCESSIONÁRIAS ferramentas que possibilitem a extração de relatórios de controle e de planejamento, bem como o acesso a todas </w:t>
      </w:r>
      <w:r>
        <w:lastRenderedPageBreak/>
        <w:t xml:space="preserve">as bases de dados gerados pelos sistemas que comporão o SITBus." (BHTRANS, 2008) </w:t>
      </w:r>
    </w:p>
    <w:p w:rsidR="00420760" w:rsidRDefault="000D5AF6" w:rsidP="000D5AF6">
      <w:r>
        <w:t>Mas em nenhum momento diz claramente sobre a disponibilização de dados em</w:t>
      </w:r>
      <w:r>
        <w:rPr>
          <w:b/>
        </w:rPr>
        <w:t xml:space="preserve"> tempo real</w:t>
      </w:r>
      <w:r>
        <w:t>. Logo, não fica claro quem poderá explorar estes dados que têm um potencial incalculável e um impacto significativo na gestão e organização do ambiente urbano.</w:t>
      </w:r>
    </w:p>
    <w:p w:rsidR="000D5AF6" w:rsidRPr="00420760" w:rsidRDefault="000D5AF6" w:rsidP="000D5AF6">
      <w:pPr>
        <w:pStyle w:val="SIGraDiT2"/>
      </w:pPr>
      <w:r>
        <w:t>Considerações Finais</w:t>
      </w:r>
    </w:p>
    <w:p w:rsidR="000D5AF6" w:rsidRDefault="000D5AF6" w:rsidP="000D5AF6">
      <w:pPr>
        <w:pStyle w:val="normal0"/>
      </w:pPr>
      <w:r>
        <w:t xml:space="preserve">Partindo dessas reflexões, construímos três questões para fazermos a análise crítica ao acompanhar a implementação de IoT no sistema de transporte público nos próximos anos: </w:t>
      </w:r>
    </w:p>
    <w:p w:rsidR="000D5AF6" w:rsidRDefault="000D5AF6" w:rsidP="000D5AF6">
      <w:pPr>
        <w:pStyle w:val="normal0"/>
      </w:pPr>
      <w:r>
        <w:t xml:space="preserve">Considerando a infraestrutura instalada no sistema de transporte público de Belo Horizonte e as possibilidades de uso desta tecnologia para soluções no futuro, quais políticas poderiam ser antecipadas? </w:t>
      </w:r>
    </w:p>
    <w:p w:rsidR="000D5AF6" w:rsidRDefault="000D5AF6" w:rsidP="000D5AF6">
      <w:pPr>
        <w:pStyle w:val="normal0"/>
        <w:ind w:left="0" w:firstLine="0"/>
      </w:pPr>
      <w:r>
        <w:t xml:space="preserve">O quão inteligente é para uma cidade possuir um sistema de mobilidade não público? </w:t>
      </w:r>
    </w:p>
    <w:p w:rsidR="000D5AF6" w:rsidRDefault="000D5AF6" w:rsidP="000D5AF6">
      <w:pPr>
        <w:pStyle w:val="normal0"/>
        <w:ind w:left="0" w:firstLine="0"/>
      </w:pPr>
      <w:r>
        <w:t>A quem servem as políticas de privacidade de dados produzidos no espaço urbano?</w:t>
      </w:r>
    </w:p>
    <w:p w:rsidR="000D5AF6" w:rsidRDefault="000D5AF6" w:rsidP="000D5AF6">
      <w:pPr>
        <w:pStyle w:val="normal0"/>
        <w:ind w:left="0" w:firstLine="0"/>
        <w:rPr>
          <w:b/>
          <w:smallCaps/>
          <w:color w:val="4686A3"/>
          <w:sz w:val="24"/>
          <w:szCs w:val="24"/>
        </w:rPr>
      </w:pPr>
      <w:r>
        <w:t>Estas questões são a síntese das investigações e análises feitas no último ano, que estarão guiando a continuidade deste trabalho.</w:t>
      </w:r>
    </w:p>
    <w:p w:rsidR="00460488" w:rsidRDefault="00F4504B" w:rsidP="00A37883">
      <w:pPr>
        <w:pStyle w:val="SIGraDiT2"/>
      </w:pPr>
      <w:r w:rsidRPr="00BC5BEF">
        <w:t>Refer</w:t>
      </w:r>
      <w:r w:rsidR="00973D46" w:rsidRPr="00BC5BEF">
        <w:t>ências</w:t>
      </w:r>
    </w:p>
    <w:p w:rsidR="006F6DC6" w:rsidRDefault="006F6DC6" w:rsidP="002F6B6C">
      <w:pPr>
        <w:pStyle w:val="SIGraDiRef"/>
      </w:pPr>
      <w:r>
        <w:rPr>
          <w:rStyle w:val="selectable"/>
        </w:rPr>
        <w:t>Anexo XIII. Edital de concorrência pública nº 131/2008 - Serviços Públicos de Transporte Coletivo de Passageiros por Ônibus nas Redes de Transportes e Serviços (RTS). Retrieved from https://prefeitura.pbh.gov.br/bhtrans/informacoes/transparencia/transparencia-no-transporte-coletivo.</w:t>
      </w:r>
    </w:p>
    <w:p w:rsidR="00011601" w:rsidRDefault="00011601" w:rsidP="002F6B6C">
      <w:pPr>
        <w:pStyle w:val="SIGraDiRef"/>
      </w:pPr>
      <w:r>
        <w:t>Berrada, J. &amp; Leurent, F. (2017). Modeling Transportation Systems Involving Autonomous Vehicles: A Satate of Art. 201h EURO Working Group on Transportation Meeting. Budapest: ELSEVIER.</w:t>
      </w:r>
    </w:p>
    <w:p w:rsidR="00011601" w:rsidRDefault="00011601" w:rsidP="002F6B6C">
      <w:pPr>
        <w:pStyle w:val="SIGraDiRef"/>
      </w:pPr>
      <w:r>
        <w:t>Brasil. Lei nº 12.965 (2014). Brasília.</w:t>
      </w:r>
    </w:p>
    <w:p w:rsidR="006F6DC6" w:rsidRDefault="006F6DC6" w:rsidP="002F6B6C">
      <w:pPr>
        <w:pStyle w:val="SIGraDiRef"/>
      </w:pPr>
      <w:r>
        <w:rPr>
          <w:rStyle w:val="selectable"/>
        </w:rPr>
        <w:t>Building a Smarter Community. (2018). Retrieved from https://www.cisco.com/c/en/us/solutions/industries/smart-connected-communities.html?socialshare=vjs_video_3.</w:t>
      </w:r>
    </w:p>
    <w:p w:rsidR="006F6DC6" w:rsidRDefault="00011601" w:rsidP="002F6B6C">
      <w:pPr>
        <w:pStyle w:val="SIGraDiRef"/>
      </w:pPr>
      <w:r>
        <w:t xml:space="preserve">Foster, J., &amp; McChesney, R. (2018). Surveillance Capitalism. Retrieved from </w:t>
      </w:r>
      <w:r w:rsidR="00EF2F13" w:rsidRPr="002F6B6C">
        <w:t>https://monthlyreview.org/2014/07/01/surveillance-capitalism/</w:t>
      </w:r>
      <w:r w:rsidR="006F6DC6">
        <w:t>.</w:t>
      </w:r>
    </w:p>
    <w:p w:rsidR="00EF2F13" w:rsidRDefault="00EF2F13" w:rsidP="002F6B6C">
      <w:pPr>
        <w:pStyle w:val="SIGraDiRef"/>
        <w:rPr>
          <w:lang w:val="en-US"/>
        </w:rPr>
      </w:pPr>
      <w:r w:rsidRPr="00011601">
        <w:rPr>
          <w:lang w:val="en-US"/>
        </w:rPr>
        <w:t>Greenfield, A. (2013). Against the smart city. New York: Do projects.</w:t>
      </w:r>
      <w:r w:rsidRPr="00BC5BEF">
        <w:rPr>
          <w:lang w:val="en-US"/>
        </w:rPr>
        <w:t xml:space="preserve"> </w:t>
      </w:r>
    </w:p>
    <w:p w:rsidR="00EF2F13" w:rsidRDefault="00EF2F13" w:rsidP="002F6B6C">
      <w:pPr>
        <w:pStyle w:val="SIGraDiRef"/>
        <w:rPr>
          <w:szCs w:val="16"/>
        </w:rPr>
      </w:pPr>
      <w:r>
        <w:rPr>
          <w:szCs w:val="16"/>
        </w:rPr>
        <w:t>Goldsmith, S., &amp; Crawford, S. (2014). The Interactive City. In S. Goldsmith &amp; S. Crawford, The Responsive City: Engaging Communities Through Data-Smart Governance (pp. 55-72). San Francisco: Jossey-Bass.</w:t>
      </w:r>
    </w:p>
    <w:p w:rsidR="00EF2F13" w:rsidRPr="00EF2F13" w:rsidRDefault="00EF2F13" w:rsidP="002F6B6C">
      <w:pPr>
        <w:pStyle w:val="SIGraDiRef"/>
      </w:pPr>
      <w:r>
        <w:t>IBM. (2018). Smart Planet. Smarter Cities. Retrieved from  https://www.ibm.com/smarterplanet/us/en/smarter_cities/overview/</w:t>
      </w:r>
    </w:p>
    <w:p w:rsidR="00011601" w:rsidRDefault="00011601" w:rsidP="002F6B6C">
      <w:pPr>
        <w:pStyle w:val="SIGraDiRef"/>
      </w:pPr>
      <w:r>
        <w:t>JACOBS, J. (2000).  Morte e Vida de Grande Cidades. São Paulo: Editora Martins Fontes.</w:t>
      </w:r>
    </w:p>
    <w:p w:rsidR="00011601" w:rsidRPr="00011601" w:rsidRDefault="00011601" w:rsidP="002F6B6C">
      <w:pPr>
        <w:pStyle w:val="SIGraDiRef"/>
      </w:pPr>
      <w:r>
        <w:t>JOHNSON, Steven. (2003). Emergência: A Dinâmica de Rede em Formigas, Cérebros Cidades e Softwares. São Paulo: Jorge Zahar Editores.</w:t>
      </w:r>
    </w:p>
    <w:p w:rsidR="00011601" w:rsidRDefault="00011601" w:rsidP="002F6B6C">
      <w:pPr>
        <w:pStyle w:val="SIGraDiRef"/>
      </w:pPr>
      <w:r>
        <w:lastRenderedPageBreak/>
        <w:t>Kroes, N. (2012). Neelie Kroes on the value of open public data: 'data is the new oil'. Retrieved from https://www.youtube.com/watch?v=9Jq4Qy1UeAE.</w:t>
      </w:r>
    </w:p>
    <w:p w:rsidR="00011601" w:rsidRDefault="00011601" w:rsidP="002F6B6C">
      <w:pPr>
        <w:pStyle w:val="SIGraDiRef"/>
      </w:pPr>
      <w:r>
        <w:t xml:space="preserve">Kroes, N., &amp; Johannisse, S. (2014). Foreword: Digital minds for a new Europe. In P. Hofheinz, </w:t>
      </w:r>
      <w:r>
        <w:rPr>
          <w:i/>
        </w:rPr>
        <w:t>Digital minds for a new Europe</w:t>
      </w:r>
      <w:r>
        <w:t xml:space="preserve"> (pp. 6-8). Brussels: The Lisbon Council for Economic Competitiveness and Social Renewal. Retrieved from https://www.lisboncouncil.net/publication/publication/118-digital-minds-for-a-new-europe-.html</w:t>
      </w:r>
    </w:p>
    <w:p w:rsidR="00EF2F13" w:rsidRDefault="00EF2F13" w:rsidP="002F6B6C">
      <w:pPr>
        <w:pStyle w:val="SIGraDiRef"/>
        <w:rPr>
          <w:szCs w:val="16"/>
        </w:rPr>
      </w:pPr>
      <w:r>
        <w:rPr>
          <w:szCs w:val="16"/>
        </w:rPr>
        <w:t>McKinsey, Fundação CPqD, &amp; Pereira Neto Macedo. (2017). Cartilha de Cidades. In Estudo “Internet das Coisas: um plano de ação para o Brasil”. Banco Nacional de Desenvolvimento Econômico e Social (BNDES). Retrieved from https://www.bndes.gov.br/wps/portal/site/home/conhecimento/pesquisaedados/estudos/estudo-internet-das-coisas-iot/estudo-internet-das-coisas-um-plano-de-acao-para-o-brasil.</w:t>
      </w:r>
    </w:p>
    <w:p w:rsidR="00EF2F13" w:rsidRPr="00EF2F13" w:rsidRDefault="00EF2F13" w:rsidP="002F6B6C">
      <w:pPr>
        <w:pStyle w:val="SIGraDiRef"/>
        <w:rPr>
          <w:szCs w:val="16"/>
        </w:rPr>
      </w:pPr>
      <w:r>
        <w:rPr>
          <w:szCs w:val="16"/>
        </w:rPr>
        <w:t>Metz, D. (2018). Developing Policy for Urban Autonomous Vehicles: Impact on Congestion. Urban Science. Basel: MDPI.</w:t>
      </w:r>
    </w:p>
    <w:p w:rsidR="00011601" w:rsidRDefault="00011601" w:rsidP="002F6B6C">
      <w:pPr>
        <w:pStyle w:val="SIGraDiRef"/>
      </w:pPr>
      <w:r>
        <w:t xml:space="preserve">Scholz, T. (2011). Your Mobility for sale. In M. Shepard, Sentient city: ubiquitous computing, architecture, and the future of </w:t>
      </w:r>
      <w:r>
        <w:lastRenderedPageBreak/>
        <w:t>urban space (pp. 204-211). New York: Architectural League of New York.</w:t>
      </w:r>
    </w:p>
    <w:p w:rsidR="00EF2F13" w:rsidRPr="00EF2F13" w:rsidRDefault="00EF2F13" w:rsidP="002F6B6C">
      <w:pPr>
        <w:pStyle w:val="SIGraDiRef"/>
        <w:rPr>
          <w:szCs w:val="16"/>
        </w:rPr>
      </w:pPr>
      <w:r>
        <w:rPr>
          <w:szCs w:val="16"/>
        </w:rPr>
        <w:t>Scholz, T. (2013). Why Does Digital Labor Matter Now?. In T. Scholz, Digital Labor: The Internet as Playground and Factory (1st ed., pp. 8-10). New York: Routledge.</w:t>
      </w:r>
    </w:p>
    <w:p w:rsidR="00EF2F13" w:rsidRPr="00EF2F13" w:rsidRDefault="00EF2F13" w:rsidP="002F6B6C">
      <w:pPr>
        <w:pStyle w:val="SIGraDiRef"/>
        <w:rPr>
          <w:szCs w:val="16"/>
        </w:rPr>
      </w:pPr>
      <w:r>
        <w:rPr>
          <w:szCs w:val="16"/>
        </w:rPr>
        <w:t xml:space="preserve">Stallman, R. (2002). </w:t>
      </w:r>
      <w:r>
        <w:rPr>
          <w:i/>
          <w:szCs w:val="16"/>
        </w:rPr>
        <w:t>Free software free society: Selected Essays of Richard M. Stallman</w:t>
      </w:r>
      <w:r>
        <w:rPr>
          <w:szCs w:val="16"/>
        </w:rPr>
        <w:t xml:space="preserve"> (pp. 43-45; 117-119). Boston: GNU Press.</w:t>
      </w:r>
    </w:p>
    <w:p w:rsidR="00011601" w:rsidRDefault="00011601" w:rsidP="002F6B6C">
      <w:pPr>
        <w:pStyle w:val="SIGraDiRef"/>
        <w:rPr>
          <w:szCs w:val="16"/>
        </w:rPr>
      </w:pPr>
      <w:r>
        <w:rPr>
          <w:szCs w:val="16"/>
        </w:rPr>
        <w:t>Szell, M., &amp; Groß, B. (2014). Hubcab – Exploring the Benefits of Shared Taxi Services. In C. Ratti &amp; D. Offenhuber, Decoding the City: How Big Data Can Change Urbanism (pp. 28-33). Birkhäuser Verlag GmbH.</w:t>
      </w:r>
    </w:p>
    <w:p w:rsidR="00EF2F13" w:rsidRDefault="00EF2F13" w:rsidP="002F6B6C">
      <w:pPr>
        <w:pStyle w:val="SIGraDiRef"/>
      </w:pPr>
      <w:r>
        <w:t>Uber. (2018). Política de Privacidade. Retrieved from https://privacy.uber.com/policy/.</w:t>
      </w:r>
    </w:p>
    <w:p w:rsidR="00EF2F13" w:rsidRDefault="00EF2F13" w:rsidP="002F6B6C">
      <w:pPr>
        <w:pStyle w:val="SIGraDiRef"/>
      </w:pPr>
      <w:r>
        <w:t>Uber. (2018). What's Uber Express Pool. Retrieved from https://help.uber.com/pt_BR/h/250688c6-94f5-4a95-ae73-63f01e765115.</w:t>
      </w:r>
    </w:p>
    <w:p w:rsidR="00011601" w:rsidRDefault="00011601" w:rsidP="00011601">
      <w:pPr>
        <w:pStyle w:val="SIGraDiRef"/>
      </w:pPr>
    </w:p>
    <w:p w:rsidR="00460488" w:rsidRDefault="00911E19" w:rsidP="00011601">
      <w:pPr>
        <w:pStyle w:val="SIGraDiRef"/>
      </w:pPr>
      <w:hyperlink r:id="rId15"/>
    </w:p>
    <w:p w:rsidR="00460488" w:rsidRDefault="00460488" w:rsidP="0077340B">
      <w:pPr>
        <w:ind w:left="0" w:firstLine="0"/>
        <w:sectPr w:rsidR="00460488" w:rsidSect="00831BA3">
          <w:type w:val="continuous"/>
          <w:pgSz w:w="11900" w:h="16820"/>
          <w:pgMar w:top="1134" w:right="1134" w:bottom="1134" w:left="1191" w:header="720" w:footer="720" w:gutter="0"/>
          <w:cols w:num="2" w:space="289"/>
          <w:titlePg/>
          <w:docGrid w:linePitch="245"/>
        </w:sectPr>
      </w:pPr>
    </w:p>
    <w:p w:rsidR="00040446" w:rsidRDefault="00040446">
      <w:pPr>
        <w:spacing w:after="0" w:line="216" w:lineRule="auto"/>
        <w:ind w:left="0" w:firstLine="0"/>
        <w:jc w:val="left"/>
        <w:rPr>
          <w:i/>
          <w:color w:val="00B0F0"/>
          <w:sz w:val="16"/>
        </w:rPr>
      </w:pPr>
    </w:p>
    <w:p w:rsidR="008C5A3B" w:rsidRPr="008C5A3B" w:rsidRDefault="008C5A3B">
      <w:pPr>
        <w:spacing w:after="0" w:line="216" w:lineRule="auto"/>
        <w:ind w:left="0" w:firstLine="0"/>
        <w:jc w:val="left"/>
      </w:pPr>
    </w:p>
    <w:sectPr w:rsidR="008C5A3B" w:rsidRPr="008C5A3B" w:rsidSect="000D7172">
      <w:type w:val="continuous"/>
      <w:pgSz w:w="11900" w:h="16820"/>
      <w:pgMar w:top="1134" w:right="1077" w:bottom="1225" w:left="1134"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3A1" w:rsidRDefault="00E213A1" w:rsidP="00803477">
      <w:pPr>
        <w:spacing w:after="0" w:line="240" w:lineRule="auto"/>
      </w:pPr>
      <w:r>
        <w:separator/>
      </w:r>
    </w:p>
  </w:endnote>
  <w:endnote w:type="continuationSeparator" w:id="1">
    <w:p w:rsidR="00E213A1" w:rsidRDefault="00E213A1" w:rsidP="00803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851369136"/>
      <w:docPartObj>
        <w:docPartGallery w:val="Page Numbers (Bottom of Page)"/>
        <w:docPartUnique/>
      </w:docPartObj>
    </w:sdtPr>
    <w:sdtEndPr>
      <w:rPr>
        <w:rStyle w:val="Nmerodepgina"/>
        <w:color w:val="7F7F7F" w:themeColor="text1" w:themeTint="80"/>
      </w:rPr>
    </w:sdtEndPr>
    <w:sdtContent>
      <w:p w:rsidR="000D7172" w:rsidRPr="00501A54" w:rsidRDefault="00911E19" w:rsidP="00501A54">
        <w:pPr>
          <w:pStyle w:val="Rodap"/>
          <w:framePr w:w="284" w:wrap="notBeside" w:vAnchor="page" w:hAnchor="page" w:x="568" w:y="8506"/>
          <w:ind w:left="10"/>
          <w:rPr>
            <w:rStyle w:val="Nmerodepgina"/>
            <w:color w:val="7F7F7F" w:themeColor="text1" w:themeTint="80"/>
          </w:rPr>
        </w:pPr>
        <w:r w:rsidRPr="00501A54">
          <w:rPr>
            <w:rStyle w:val="Nmerodepgina"/>
            <w:color w:val="7F7F7F" w:themeColor="text1" w:themeTint="80"/>
          </w:rPr>
          <w:fldChar w:fldCharType="begin"/>
        </w:r>
        <w:r w:rsidR="000D7172" w:rsidRPr="00501A54">
          <w:rPr>
            <w:rStyle w:val="Nmerodepgina"/>
            <w:color w:val="7F7F7F" w:themeColor="text1" w:themeTint="80"/>
          </w:rPr>
          <w:instrText xml:space="preserve"> PAGE </w:instrText>
        </w:r>
        <w:r w:rsidRPr="00501A54">
          <w:rPr>
            <w:rStyle w:val="Nmerodepgina"/>
            <w:color w:val="7F7F7F" w:themeColor="text1" w:themeTint="80"/>
          </w:rPr>
          <w:fldChar w:fldCharType="separate"/>
        </w:r>
        <w:r w:rsidR="00A57876">
          <w:rPr>
            <w:rStyle w:val="Nmerodepgina"/>
            <w:noProof/>
            <w:color w:val="7F7F7F" w:themeColor="text1" w:themeTint="80"/>
          </w:rPr>
          <w:t>6</w:t>
        </w:r>
        <w:r w:rsidRPr="00501A54">
          <w:rPr>
            <w:rStyle w:val="Nmerodepgina"/>
            <w:color w:val="7F7F7F" w:themeColor="text1" w:themeTint="80"/>
          </w:rPr>
          <w:fldChar w:fldCharType="end"/>
        </w:r>
      </w:p>
    </w:sdtContent>
  </w:sdt>
  <w:p w:rsidR="000D7172" w:rsidRDefault="000D7172" w:rsidP="000D7172">
    <w:pPr>
      <w:pStyle w:val="Rodap"/>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130618645"/>
      <w:docPartObj>
        <w:docPartGallery w:val="Page Numbers (Bottom of Page)"/>
        <w:docPartUnique/>
      </w:docPartObj>
    </w:sdtPr>
    <w:sdtEndPr>
      <w:rPr>
        <w:rStyle w:val="Nmerodepgina"/>
        <w:color w:val="7F7F7F" w:themeColor="text1" w:themeTint="80"/>
        <w:szCs w:val="18"/>
      </w:rPr>
    </w:sdtEndPr>
    <w:sdtContent>
      <w:p w:rsidR="000D7172" w:rsidRPr="00501A54" w:rsidRDefault="00911E19" w:rsidP="00501A54">
        <w:pPr>
          <w:pStyle w:val="Rodap"/>
          <w:framePr w:w="284" w:h="227" w:hRule="exact" w:wrap="notBeside" w:vAnchor="page" w:hAnchor="page" w:x="11270" w:y="8496" w:anchorLock="1"/>
          <w:rPr>
            <w:rStyle w:val="Nmerodepgina"/>
            <w:color w:val="7F7F7F" w:themeColor="text1" w:themeTint="80"/>
            <w:szCs w:val="18"/>
          </w:rPr>
        </w:pPr>
        <w:r w:rsidRPr="00501A54">
          <w:rPr>
            <w:rStyle w:val="Nmerodepgina"/>
            <w:color w:val="7F7F7F" w:themeColor="text1" w:themeTint="80"/>
            <w:szCs w:val="18"/>
          </w:rPr>
          <w:fldChar w:fldCharType="begin"/>
        </w:r>
        <w:r w:rsidR="000D7172" w:rsidRPr="00501A54">
          <w:rPr>
            <w:rStyle w:val="Nmerodepgina"/>
            <w:color w:val="7F7F7F" w:themeColor="text1" w:themeTint="80"/>
            <w:szCs w:val="18"/>
          </w:rPr>
          <w:instrText xml:space="preserve"> PAGE </w:instrText>
        </w:r>
        <w:r w:rsidRPr="00501A54">
          <w:rPr>
            <w:rStyle w:val="Nmerodepgina"/>
            <w:color w:val="7F7F7F" w:themeColor="text1" w:themeTint="80"/>
            <w:szCs w:val="18"/>
          </w:rPr>
          <w:fldChar w:fldCharType="separate"/>
        </w:r>
        <w:r w:rsidR="002F6B6C">
          <w:rPr>
            <w:rStyle w:val="Nmerodepgina"/>
            <w:noProof/>
            <w:color w:val="7F7F7F" w:themeColor="text1" w:themeTint="80"/>
            <w:szCs w:val="18"/>
          </w:rPr>
          <w:t>5</w:t>
        </w:r>
        <w:r w:rsidRPr="00501A54">
          <w:rPr>
            <w:rStyle w:val="Nmerodepgina"/>
            <w:color w:val="7F7F7F" w:themeColor="text1" w:themeTint="80"/>
            <w:szCs w:val="18"/>
          </w:rPr>
          <w:fldChar w:fldCharType="end"/>
        </w:r>
      </w:p>
    </w:sdtContent>
  </w:sdt>
  <w:p w:rsidR="000D7172" w:rsidRDefault="00911E19" w:rsidP="000D7172">
    <w:pPr>
      <w:pStyle w:val="Rodap"/>
      <w:ind w:right="360" w:firstLine="360"/>
      <w:jc w:val="right"/>
    </w:pPr>
    <w:r>
      <w:rPr>
        <w:noProof/>
      </w:rPr>
      <w:pict>
        <v:shapetype id="_x0000_t202" coordsize="21600,21600" o:spt="202" path="m,l,21600r21600,l21600,xe">
          <v:stroke joinstyle="miter"/>
          <v:path gradientshapeok="t" o:connecttype="rect"/>
        </v:shapetype>
        <v:shape id="Caixa de Texto 3" o:spid="_x0000_s4098" type="#_x0000_t202" style="position:absolute;left:0;text-align:left;margin-left:567pt;margin-top:439.45pt;width:18.45pt;height:282.6pt;z-index:251659264;visibility:visible;mso-position-horizontal-relative:page;mso-position-vertical-relative:page;mso-width-relative:margin;mso-height-relative:margin" fillcolor="white [3201]" stroked="f" strokeweight=".5pt">
          <v:textbox style="layout-flow:vertical;mso-layout-flow-alt:bottom-to-top" inset="0,0,0,0">
            <w:txbxContent>
              <w:p w:rsidR="001B031A" w:rsidRDefault="00D259D1" w:rsidP="00D259D1">
                <w:pPr>
                  <w:ind w:left="0"/>
                  <w:jc w:val="left"/>
                </w:pPr>
                <w:r>
                  <w:rPr>
                    <w:noProof/>
                    <w:lang w:eastAsia="pt-BR"/>
                  </w:rPr>
                  <w:drawing>
                    <wp:inline distT="0" distB="0" distL="0" distR="0">
                      <wp:extent cx="887413" cy="216420"/>
                      <wp:effectExtent l="5398"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m título-1.png"/>
                              <pic:cNvPicPr/>
                            </pic:nvPicPr>
                            <pic:blipFill>
                              <a:blip r:embed="rId1"/>
                              <a:stretch>
                                <a:fillRect/>
                              </a:stretch>
                            </pic:blipFill>
                            <pic:spPr>
                              <a:xfrm rot="16200000">
                                <a:off x="0" y="0"/>
                                <a:ext cx="887413" cy="216420"/>
                              </a:xfrm>
                              <a:prstGeom prst="rect">
                                <a:avLst/>
                              </a:prstGeom>
                            </pic:spPr>
                          </pic:pic>
                        </a:graphicData>
                      </a:graphic>
                    </wp:inline>
                  </w:drawing>
                </w:r>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558896346"/>
      <w:docPartObj>
        <w:docPartGallery w:val="Page Numbers (Bottom of Page)"/>
        <w:docPartUnique/>
      </w:docPartObj>
    </w:sdtPr>
    <w:sdtContent>
      <w:p w:rsidR="00D03200" w:rsidRDefault="00911E19" w:rsidP="00D03200">
        <w:pPr>
          <w:pStyle w:val="Rodap"/>
          <w:framePr w:w="284" w:h="227" w:wrap="notBeside" w:vAnchor="page" w:hAnchor="page" w:x="11341" w:y="8506" w:anchorLock="1"/>
          <w:rPr>
            <w:rStyle w:val="Nmerodepgina"/>
          </w:rPr>
        </w:pPr>
        <w:r>
          <w:rPr>
            <w:rStyle w:val="Nmerodepgina"/>
          </w:rPr>
          <w:fldChar w:fldCharType="begin"/>
        </w:r>
        <w:r w:rsidR="00D03200">
          <w:rPr>
            <w:rStyle w:val="Nmerodepgina"/>
          </w:rPr>
          <w:instrText xml:space="preserve"> PAGE </w:instrText>
        </w:r>
        <w:r>
          <w:rPr>
            <w:rStyle w:val="Nmerodepgina"/>
          </w:rPr>
          <w:fldChar w:fldCharType="separate"/>
        </w:r>
        <w:r w:rsidR="00EC0E17">
          <w:rPr>
            <w:rStyle w:val="Nmerodepgina"/>
            <w:noProof/>
          </w:rPr>
          <w:t>1</w:t>
        </w:r>
        <w:r>
          <w:rPr>
            <w:rStyle w:val="Nmerodepgina"/>
          </w:rPr>
          <w:fldChar w:fldCharType="end"/>
        </w:r>
      </w:p>
    </w:sdtContent>
  </w:sdt>
  <w:p w:rsidR="00D03200" w:rsidRDefault="00D03200" w:rsidP="00D03200">
    <w:pPr>
      <w:pStyle w:val="Rodap"/>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3A1" w:rsidRDefault="00E213A1" w:rsidP="00803477">
      <w:pPr>
        <w:spacing w:after="0" w:line="240" w:lineRule="auto"/>
      </w:pPr>
      <w:r>
        <w:separator/>
      </w:r>
    </w:p>
  </w:footnote>
  <w:footnote w:type="continuationSeparator" w:id="1">
    <w:p w:rsidR="00E213A1" w:rsidRDefault="00E213A1" w:rsidP="008034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9D1" w:rsidRDefault="00911E19">
    <w:pPr>
      <w:pStyle w:val="Cabealho"/>
    </w:pPr>
    <w:r>
      <w:rPr>
        <w:noProof/>
      </w:rPr>
      <w:pict>
        <v:shapetype id="_x0000_t202" coordsize="21600,21600" o:spt="202" path="m,l,21600r21600,l21600,xe">
          <v:stroke joinstyle="miter"/>
          <v:path gradientshapeok="t" o:connecttype="rect"/>
        </v:shapetype>
        <v:shape id="Caixa de Texto 8" o:spid="_x0000_s4099" type="#_x0000_t202" style="position:absolute;left:0;text-align:left;margin-left:-35.45pt;margin-top:439.45pt;width:12.2pt;height:373.05pt;z-index:25166028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" o:allowoverlap="f" fillcolor="white [3201]" stroked="f" strokeweight=".5pt">
          <v:textbox style="layout-flow:vertical;mso-layout-flow-alt:bottom-to-top" inset="0,0,0,0">
            <w:txbxContent>
              <w:p w:rsidR="00D259D1" w:rsidRPr="00D259D1" w:rsidRDefault="00D259D1" w:rsidP="00D259D1">
                <w:pPr>
                  <w:ind w:left="0"/>
                  <w:jc w:val="right"/>
                  <w:rPr>
                    <w:color w:val="4686A3"/>
                    <w:sz w:val="15"/>
                    <w:szCs w:val="15"/>
                  </w:rPr>
                </w:pPr>
                <w:r w:rsidRPr="00D259D1">
                  <w:rPr>
                    <w:color w:val="4686A3"/>
                    <w:sz w:val="15"/>
                    <w:szCs w:val="15"/>
                  </w:rPr>
                  <w:t>22th CONFERENCE OF THE IBEROAMERICAN SOCIETY OF DIGITAL GRAPHICS</w:t>
                </w:r>
              </w:p>
            </w:txbxContent>
          </v:textbox>
          <w10:wrap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2E" w:rsidRPr="00803477" w:rsidRDefault="00441E2E" w:rsidP="00803477">
    <w:pPr>
      <w:pStyle w:val="Cabealho"/>
      <w:jc w:val="cent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00" w:rsidRDefault="00911E19">
    <w:pPr>
      <w:pStyle w:val="Cabealho"/>
    </w:pPr>
    <w:r w:rsidRPr="00911E19">
      <w:rPr>
        <w:noProof/>
        <w:color w:val="4686A3"/>
      </w:rPr>
      <w:pict>
        <v:shapetype id="_x0000_t202" coordsize="21600,21600" o:spt="202" path="m,l,21600r21600,l21600,xe">
          <v:stroke joinstyle="miter"/>
          <v:path gradientshapeok="t" o:connecttype="rect"/>
        </v:shapetype>
        <v:shape id="Caixa de Texto 1" o:spid="_x0000_s4097" type="#_x0000_t202" style="position:absolute;left:0;text-align:left;margin-left:-4.8pt;margin-top:61.85pt;width:98.35pt;height:153.4pt;z-index:251662336;visibility:visible;mso-position-vertical-relative:page;mso-width-relative:margin;mso-height-relative:margin" o:allowoverlap="f" fillcolor="white [3201]" stroked="f" strokeweight=".5pt">
          <v:textbox inset="0,0,0,0">
            <w:txbxContent>
              <w:p w:rsidR="00D03200" w:rsidRDefault="00324152" w:rsidP="00AF5D8A">
                <w:pPr>
                  <w:widowControl w:val="0"/>
                  <w:adjustRightInd w:val="0"/>
                  <w:snapToGrid w:val="0"/>
                  <w:spacing w:after="0" w:line="240" w:lineRule="auto"/>
                  <w:ind w:left="0" w:firstLine="0"/>
                  <w:jc w:val="center"/>
                </w:pPr>
                <w:r>
                  <w:rPr>
                    <w:noProof/>
                    <w:lang w:eastAsia="pt-BR"/>
                  </w:rPr>
                  <w:drawing>
                    <wp:inline distT="0" distB="0" distL="0" distR="0">
                      <wp:extent cx="1093301" cy="967041"/>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sigradi.jpg"/>
                              <pic:cNvPicPr/>
                            </pic:nvPicPr>
                            <pic:blipFill rotWithShape="1">
                              <a:blip r:embed="rId1"/>
                              <a:srcRect l="1898" r="1"/>
                              <a:stretch/>
                            </pic:blipFill>
                            <pic:spPr bwMode="auto">
                              <a:xfrm>
                                <a:off x="0" y="0"/>
                                <a:ext cx="1104701" cy="9771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90360" w:rsidRDefault="00D90360" w:rsidP="00AF5D8A">
                <w:pPr>
                  <w:widowControl w:val="0"/>
                  <w:adjustRightInd w:val="0"/>
                  <w:snapToGrid w:val="0"/>
                  <w:spacing w:after="0" w:line="240" w:lineRule="auto"/>
                  <w:ind w:left="0" w:firstLine="0"/>
                  <w:jc w:val="center"/>
                  <w:rPr>
                    <w:color w:val="4686A3"/>
                    <w:sz w:val="13"/>
                    <w:szCs w:val="13"/>
                  </w:rPr>
                </w:pPr>
                <w:r w:rsidRPr="00D90360">
                  <w:rPr>
                    <w:color w:val="4686A3"/>
                    <w:sz w:val="13"/>
                    <w:szCs w:val="13"/>
                  </w:rPr>
                  <w:t>xxii congresso da sociedade iberoamericana de gráfica digital</w:t>
                </w:r>
              </w:p>
              <w:p w:rsidR="00D90360" w:rsidRPr="00D90360" w:rsidRDefault="00D90360" w:rsidP="00AF5D8A">
                <w:pPr>
                  <w:widowControl w:val="0"/>
                  <w:adjustRightInd w:val="0"/>
                  <w:snapToGrid w:val="0"/>
                  <w:spacing w:after="0" w:line="240" w:lineRule="auto"/>
                  <w:ind w:left="0" w:firstLine="0"/>
                  <w:jc w:val="center"/>
                  <w:rPr>
                    <w:i/>
                    <w:color w:val="7F7F7F" w:themeColor="text1" w:themeTint="80"/>
                    <w:sz w:val="13"/>
                    <w:szCs w:val="13"/>
                    <w:lang w:val="en-US"/>
                  </w:rPr>
                </w:pPr>
                <w:r w:rsidRPr="00D90360">
                  <w:rPr>
                    <w:i/>
                    <w:color w:val="7F7F7F" w:themeColor="text1" w:themeTint="80"/>
                    <w:sz w:val="13"/>
                    <w:szCs w:val="13"/>
                    <w:lang w:val="en-US"/>
                  </w:rPr>
                  <w:t xml:space="preserve">22th conference of the iberoamerican society </w:t>
                </w:r>
                <w:r w:rsidRPr="00D90360">
                  <w:rPr>
                    <w:i/>
                    <w:color w:val="7F7F7F" w:themeColor="text1" w:themeTint="80"/>
                    <w:sz w:val="13"/>
                    <w:szCs w:val="13"/>
                    <w:lang w:val="en-US"/>
                  </w:rPr>
                  <w:br/>
                  <w:t>of digital graphics</w:t>
                </w:r>
              </w:p>
              <w:p w:rsidR="005A7B7C" w:rsidRPr="00AF5D8A" w:rsidRDefault="005A7B7C" w:rsidP="00AF5D8A">
                <w:pPr>
                  <w:widowControl w:val="0"/>
                  <w:adjustRightInd w:val="0"/>
                  <w:snapToGrid w:val="0"/>
                  <w:spacing w:after="0" w:line="240" w:lineRule="auto"/>
                  <w:ind w:left="0" w:firstLine="0"/>
                  <w:jc w:val="center"/>
                  <w:rPr>
                    <w:color w:val="4686A3"/>
                    <w:sz w:val="13"/>
                    <w:szCs w:val="13"/>
                  </w:rPr>
                </w:pPr>
                <w:r w:rsidRPr="00AF5D8A">
                  <w:rPr>
                    <w:color w:val="4686A3"/>
                    <w:sz w:val="13"/>
                    <w:szCs w:val="13"/>
                  </w:rPr>
                  <w:t>07</w:t>
                </w:r>
                <w:r w:rsidR="00AF5D8A">
                  <w:rPr>
                    <w:color w:val="4686A3"/>
                    <w:sz w:val="13"/>
                    <w:szCs w:val="13"/>
                  </w:rPr>
                  <w:t>|</w:t>
                </w:r>
                <w:r w:rsidRPr="00AF5D8A">
                  <w:rPr>
                    <w:color w:val="4686A3"/>
                    <w:sz w:val="13"/>
                    <w:szCs w:val="13"/>
                  </w:rPr>
                  <w:t>08</w:t>
                </w:r>
                <w:r w:rsidR="00AF5D8A">
                  <w:rPr>
                    <w:color w:val="4686A3"/>
                    <w:sz w:val="13"/>
                    <w:szCs w:val="13"/>
                  </w:rPr>
                  <w:t>|</w:t>
                </w:r>
                <w:r w:rsidRPr="00AF5D8A">
                  <w:rPr>
                    <w:color w:val="4686A3"/>
                    <w:sz w:val="13"/>
                    <w:szCs w:val="13"/>
                  </w:rPr>
                  <w:t>09</w:t>
                </w:r>
                <w:r w:rsidR="00AF5D8A">
                  <w:rPr>
                    <w:color w:val="4686A3"/>
                    <w:sz w:val="13"/>
                    <w:szCs w:val="13"/>
                  </w:rPr>
                  <w:t>|novembro|</w:t>
                </w:r>
                <w:r w:rsidRPr="00AF5D8A">
                  <w:rPr>
                    <w:color w:val="4686A3"/>
                    <w:sz w:val="13"/>
                    <w:szCs w:val="13"/>
                  </w:rPr>
                  <w:t>2018</w:t>
                </w:r>
                <w:r w:rsidR="00AF5D8A" w:rsidRPr="00AF5D8A">
                  <w:rPr>
                    <w:color w:val="4686A3"/>
                    <w:sz w:val="13"/>
                    <w:szCs w:val="13"/>
                  </w:rPr>
                  <w:br/>
                </w:r>
                <w:r w:rsidR="00AF5D8A" w:rsidRPr="00D90360">
                  <w:rPr>
                    <w:color w:val="7F7F7F" w:themeColor="text1" w:themeTint="80"/>
                    <w:sz w:val="13"/>
                    <w:szCs w:val="13"/>
                  </w:rPr>
                  <w:t xml:space="preserve">iau usp </w:t>
                </w:r>
                <w:r w:rsidR="00D90360" w:rsidRPr="00D90360">
                  <w:rPr>
                    <w:color w:val="7F7F7F" w:themeColor="text1" w:themeTint="80"/>
                    <w:sz w:val="13"/>
                    <w:szCs w:val="13"/>
                  </w:rPr>
                  <w:t xml:space="preserve">| </w:t>
                </w:r>
                <w:r w:rsidR="00AF5D8A" w:rsidRPr="00D90360">
                  <w:rPr>
                    <w:color w:val="7F7F7F" w:themeColor="text1" w:themeTint="80"/>
                    <w:sz w:val="13"/>
                    <w:szCs w:val="13"/>
                  </w:rPr>
                  <w:t xml:space="preserve">são carlos </w:t>
                </w:r>
                <w:r w:rsidR="00D90360" w:rsidRPr="00D90360">
                  <w:rPr>
                    <w:color w:val="7F7F7F" w:themeColor="text1" w:themeTint="80"/>
                    <w:sz w:val="13"/>
                    <w:szCs w:val="13"/>
                  </w:rPr>
                  <w:t xml:space="preserve">| </w:t>
                </w:r>
                <w:r w:rsidR="00D90360">
                  <w:rPr>
                    <w:color w:val="7F7F7F" w:themeColor="text1" w:themeTint="80"/>
                    <w:sz w:val="13"/>
                    <w:szCs w:val="13"/>
                  </w:rPr>
                  <w:t xml:space="preserve">sp </w:t>
                </w:r>
                <w:r w:rsidR="00AF5D8A" w:rsidRPr="00D90360">
                  <w:rPr>
                    <w:color w:val="7F7F7F" w:themeColor="text1" w:themeTint="80"/>
                    <w:sz w:val="13"/>
                    <w:szCs w:val="13"/>
                  </w:rPr>
                  <w:t>br</w:t>
                </w:r>
                <w:r w:rsidR="00AF5D8A" w:rsidRPr="00AF5D8A">
                  <w:rPr>
                    <w:color w:val="4686A3"/>
                    <w:sz w:val="13"/>
                    <w:szCs w:val="13"/>
                  </w:rPr>
                  <w:br/>
                </w:r>
              </w:p>
              <w:p w:rsidR="005A7B7C" w:rsidRPr="00B81292" w:rsidRDefault="00D90360" w:rsidP="00D90360">
                <w:pPr>
                  <w:adjustRightInd w:val="0"/>
                  <w:snapToGrid w:val="0"/>
                  <w:spacing w:before="240" w:after="0" w:line="240" w:lineRule="auto"/>
                  <w:ind w:left="0" w:firstLine="0"/>
                  <w:jc w:val="center"/>
                  <w:rPr>
                    <w:sz w:val="15"/>
                    <w:szCs w:val="15"/>
                  </w:rPr>
                </w:pPr>
                <w:r>
                  <w:rPr>
                    <w:sz w:val="15"/>
                    <w:szCs w:val="15"/>
                  </w:rPr>
                  <w:softHyphen/>
                </w:r>
              </w:p>
            </w:txbxContent>
          </v:textbox>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55C0D"/>
    <w:multiLevelType w:val="hybridMultilevel"/>
    <w:tmpl w:val="39C0F054"/>
    <w:lvl w:ilvl="0" w:tplc="4A8EA48C">
      <w:start w:val="1"/>
      <w:numFmt w:val="bullet"/>
      <w:lvlText w:val="•"/>
      <w:lvlJc w:val="left"/>
      <w:pPr>
        <w:ind w:left="73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0ABC3400">
      <w:start w:val="1"/>
      <w:numFmt w:val="bullet"/>
      <w:lvlText w:val="o"/>
      <w:lvlJc w:val="left"/>
      <w:pPr>
        <w:ind w:left="145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57B07CD4">
      <w:start w:val="1"/>
      <w:numFmt w:val="bullet"/>
      <w:lvlText w:val="▪"/>
      <w:lvlJc w:val="left"/>
      <w:pPr>
        <w:ind w:left="217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41908770">
      <w:start w:val="1"/>
      <w:numFmt w:val="bullet"/>
      <w:lvlText w:val="•"/>
      <w:lvlJc w:val="left"/>
      <w:pPr>
        <w:ind w:left="289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71149D3A">
      <w:start w:val="1"/>
      <w:numFmt w:val="bullet"/>
      <w:lvlText w:val="o"/>
      <w:lvlJc w:val="left"/>
      <w:pPr>
        <w:ind w:left="361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67D4BA28">
      <w:start w:val="1"/>
      <w:numFmt w:val="bullet"/>
      <w:lvlText w:val="▪"/>
      <w:lvlJc w:val="left"/>
      <w:pPr>
        <w:ind w:left="433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39F01ADC">
      <w:start w:val="1"/>
      <w:numFmt w:val="bullet"/>
      <w:lvlText w:val="•"/>
      <w:lvlJc w:val="left"/>
      <w:pPr>
        <w:ind w:left="505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B33A4DF8">
      <w:start w:val="1"/>
      <w:numFmt w:val="bullet"/>
      <w:lvlText w:val="o"/>
      <w:lvlJc w:val="left"/>
      <w:pPr>
        <w:ind w:left="577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862CD7DE">
      <w:start w:val="1"/>
      <w:numFmt w:val="bullet"/>
      <w:lvlText w:val="▪"/>
      <w:lvlJc w:val="left"/>
      <w:pPr>
        <w:ind w:left="6496"/>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nsid w:val="7F5957DA"/>
    <w:multiLevelType w:val="hybridMultilevel"/>
    <w:tmpl w:val="D40664C8"/>
    <w:lvl w:ilvl="0" w:tplc="C1FC6652">
      <w:start w:val="1"/>
      <w:numFmt w:val="lowerLetter"/>
      <w:pStyle w:val="SIGraDiCitac"/>
      <w:lvlText w:val="%1."/>
      <w:lvlJc w:val="left"/>
      <w:pPr>
        <w:ind w:left="36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F5A67C2C">
      <w:start w:val="1"/>
      <w:numFmt w:val="lowerLetter"/>
      <w:lvlText w:val="%2"/>
      <w:lvlJc w:val="left"/>
      <w:pPr>
        <w:ind w:left="108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22CEA5C8">
      <w:start w:val="1"/>
      <w:numFmt w:val="lowerRoman"/>
      <w:lvlText w:val="%3"/>
      <w:lvlJc w:val="left"/>
      <w:pPr>
        <w:ind w:left="180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849CD61A">
      <w:start w:val="1"/>
      <w:numFmt w:val="decimal"/>
      <w:lvlText w:val="%4"/>
      <w:lvlJc w:val="left"/>
      <w:pPr>
        <w:ind w:left="252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3CDEA352">
      <w:start w:val="1"/>
      <w:numFmt w:val="lowerLetter"/>
      <w:lvlText w:val="%5"/>
      <w:lvlJc w:val="left"/>
      <w:pPr>
        <w:ind w:left="324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FF02898">
      <w:start w:val="1"/>
      <w:numFmt w:val="lowerRoman"/>
      <w:lvlText w:val="%6"/>
      <w:lvlJc w:val="left"/>
      <w:pPr>
        <w:ind w:left="396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BAA6E10C">
      <w:start w:val="1"/>
      <w:numFmt w:val="decimal"/>
      <w:lvlText w:val="%7"/>
      <w:lvlJc w:val="left"/>
      <w:pPr>
        <w:ind w:left="468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2E480530">
      <w:start w:val="1"/>
      <w:numFmt w:val="lowerLetter"/>
      <w:lvlText w:val="%8"/>
      <w:lvlJc w:val="left"/>
      <w:pPr>
        <w:ind w:left="540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3FC01614">
      <w:start w:val="1"/>
      <w:numFmt w:val="lowerRoman"/>
      <w:lvlText w:val="%9"/>
      <w:lvlJc w:val="left"/>
      <w:pPr>
        <w:ind w:left="6121"/>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20"/>
  <w:hyphenationZone w:val="425"/>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0B52C8"/>
    <w:rsid w:val="00011601"/>
    <w:rsid w:val="00040446"/>
    <w:rsid w:val="00073086"/>
    <w:rsid w:val="00075D8E"/>
    <w:rsid w:val="000B52C8"/>
    <w:rsid w:val="000D3A99"/>
    <w:rsid w:val="000D5AF6"/>
    <w:rsid w:val="000D7172"/>
    <w:rsid w:val="000F1C56"/>
    <w:rsid w:val="00155BDB"/>
    <w:rsid w:val="001732CE"/>
    <w:rsid w:val="001B031A"/>
    <w:rsid w:val="001B7DEC"/>
    <w:rsid w:val="001D4CB8"/>
    <w:rsid w:val="001D53F2"/>
    <w:rsid w:val="001F4BE8"/>
    <w:rsid w:val="00224905"/>
    <w:rsid w:val="0022680F"/>
    <w:rsid w:val="002503B2"/>
    <w:rsid w:val="00276F68"/>
    <w:rsid w:val="002A474B"/>
    <w:rsid w:val="002C2C5B"/>
    <w:rsid w:val="002F6B6C"/>
    <w:rsid w:val="002F6C03"/>
    <w:rsid w:val="00301DEC"/>
    <w:rsid w:val="00324152"/>
    <w:rsid w:val="00357EE5"/>
    <w:rsid w:val="00380620"/>
    <w:rsid w:val="003D042D"/>
    <w:rsid w:val="003D3731"/>
    <w:rsid w:val="004043CC"/>
    <w:rsid w:val="00420760"/>
    <w:rsid w:val="00420DCF"/>
    <w:rsid w:val="0042156C"/>
    <w:rsid w:val="00441E2E"/>
    <w:rsid w:val="00460488"/>
    <w:rsid w:val="00481FBF"/>
    <w:rsid w:val="004B0910"/>
    <w:rsid w:val="004D5E0D"/>
    <w:rsid w:val="00501A54"/>
    <w:rsid w:val="0053070F"/>
    <w:rsid w:val="00554B01"/>
    <w:rsid w:val="00565FA5"/>
    <w:rsid w:val="00572A36"/>
    <w:rsid w:val="00584EDD"/>
    <w:rsid w:val="00590383"/>
    <w:rsid w:val="00591E3D"/>
    <w:rsid w:val="005A7B7C"/>
    <w:rsid w:val="005D20FE"/>
    <w:rsid w:val="005E4484"/>
    <w:rsid w:val="005F5B1C"/>
    <w:rsid w:val="006001B3"/>
    <w:rsid w:val="00607441"/>
    <w:rsid w:val="00621BF9"/>
    <w:rsid w:val="00631923"/>
    <w:rsid w:val="00640AEA"/>
    <w:rsid w:val="00652078"/>
    <w:rsid w:val="006B4825"/>
    <w:rsid w:val="006D1D8D"/>
    <w:rsid w:val="006F5941"/>
    <w:rsid w:val="006F6DC6"/>
    <w:rsid w:val="00753583"/>
    <w:rsid w:val="0077340B"/>
    <w:rsid w:val="007779C0"/>
    <w:rsid w:val="007A0842"/>
    <w:rsid w:val="00803477"/>
    <w:rsid w:val="00831BA3"/>
    <w:rsid w:val="008973E7"/>
    <w:rsid w:val="008A44D1"/>
    <w:rsid w:val="008C5A3B"/>
    <w:rsid w:val="00911E19"/>
    <w:rsid w:val="00942B29"/>
    <w:rsid w:val="00973D46"/>
    <w:rsid w:val="009779FF"/>
    <w:rsid w:val="009B5387"/>
    <w:rsid w:val="00A07AAD"/>
    <w:rsid w:val="00A25020"/>
    <w:rsid w:val="00A321FC"/>
    <w:rsid w:val="00A37883"/>
    <w:rsid w:val="00A44767"/>
    <w:rsid w:val="00A4780D"/>
    <w:rsid w:val="00A57876"/>
    <w:rsid w:val="00A65831"/>
    <w:rsid w:val="00A7130E"/>
    <w:rsid w:val="00AC6A31"/>
    <w:rsid w:val="00AF5D8A"/>
    <w:rsid w:val="00B11D27"/>
    <w:rsid w:val="00B6335C"/>
    <w:rsid w:val="00B81292"/>
    <w:rsid w:val="00BB5845"/>
    <w:rsid w:val="00BC5BEF"/>
    <w:rsid w:val="00BD2212"/>
    <w:rsid w:val="00C27062"/>
    <w:rsid w:val="00C40F0F"/>
    <w:rsid w:val="00C52D74"/>
    <w:rsid w:val="00C607CC"/>
    <w:rsid w:val="00C810FF"/>
    <w:rsid w:val="00CA7A75"/>
    <w:rsid w:val="00CC1F9A"/>
    <w:rsid w:val="00CC281C"/>
    <w:rsid w:val="00D03200"/>
    <w:rsid w:val="00D259D1"/>
    <w:rsid w:val="00D34A36"/>
    <w:rsid w:val="00D4655E"/>
    <w:rsid w:val="00D66DD5"/>
    <w:rsid w:val="00D90360"/>
    <w:rsid w:val="00DA7ECC"/>
    <w:rsid w:val="00DB0C03"/>
    <w:rsid w:val="00DE27D5"/>
    <w:rsid w:val="00E213A1"/>
    <w:rsid w:val="00E3530D"/>
    <w:rsid w:val="00E361FE"/>
    <w:rsid w:val="00E639C9"/>
    <w:rsid w:val="00E81499"/>
    <w:rsid w:val="00E916B8"/>
    <w:rsid w:val="00E93B95"/>
    <w:rsid w:val="00EC0E17"/>
    <w:rsid w:val="00EF2F13"/>
    <w:rsid w:val="00F4504B"/>
    <w:rsid w:val="00F46E7D"/>
    <w:rsid w:val="00F5239A"/>
    <w:rsid w:val="00F7612C"/>
    <w:rsid w:val="00FB11B9"/>
    <w:rsid w:val="00FC5E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3B"/>
    <w:pPr>
      <w:spacing w:after="242" w:line="250" w:lineRule="auto"/>
      <w:ind w:left="-5" w:hanging="10"/>
      <w:jc w:val="both"/>
    </w:pPr>
    <w:rPr>
      <w:rFonts w:ascii="Arial" w:eastAsia="Arial" w:hAnsi="Arial" w:cs="Arial"/>
      <w:color w:val="595959" w:themeColor="text1" w:themeTint="A6"/>
      <w:sz w:val="18"/>
      <w:lang w:val="pt-BR"/>
    </w:rPr>
  </w:style>
  <w:style w:type="paragraph" w:styleId="Ttulo1">
    <w:name w:val="heading 1"/>
    <w:aliases w:val="Título 10"/>
    <w:next w:val="Normal"/>
    <w:link w:val="Ttulo1Char"/>
    <w:uiPriority w:val="9"/>
    <w:unhideWhenUsed/>
    <w:qFormat/>
    <w:rsid w:val="00640AEA"/>
    <w:pPr>
      <w:keepNext/>
      <w:keepLines/>
      <w:spacing w:after="68" w:line="240" w:lineRule="auto"/>
      <w:ind w:left="-5" w:right="-15" w:hanging="10"/>
      <w:outlineLvl w:val="0"/>
    </w:pPr>
    <w:rPr>
      <w:rFonts w:ascii="Arial" w:eastAsia="Arial" w:hAnsi="Arial" w:cs="Arial"/>
      <w:b/>
      <w:color w:val="000000"/>
      <w:sz w:val="28"/>
    </w:rPr>
  </w:style>
  <w:style w:type="paragraph" w:styleId="Ttulo2">
    <w:name w:val="heading 2"/>
    <w:next w:val="Normal"/>
    <w:link w:val="Ttulo2Char"/>
    <w:uiPriority w:val="9"/>
    <w:unhideWhenUsed/>
    <w:qFormat/>
    <w:rsid w:val="00911E19"/>
    <w:pPr>
      <w:keepNext/>
      <w:keepLines/>
      <w:spacing w:after="78" w:line="240" w:lineRule="auto"/>
      <w:ind w:left="-5" w:right="-15" w:hanging="10"/>
      <w:outlineLvl w:val="1"/>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911E19"/>
    <w:rPr>
      <w:rFonts w:ascii="Arial" w:eastAsia="Arial" w:hAnsi="Arial" w:cs="Arial"/>
      <w:b/>
      <w:color w:val="000000"/>
      <w:sz w:val="20"/>
    </w:rPr>
  </w:style>
  <w:style w:type="character" w:customStyle="1" w:styleId="Ttulo1Char">
    <w:name w:val="Título 1 Char"/>
    <w:aliases w:val="Título 10 Char"/>
    <w:link w:val="Ttulo1"/>
    <w:uiPriority w:val="9"/>
    <w:rsid w:val="00640AEA"/>
    <w:rPr>
      <w:rFonts w:ascii="Arial" w:eastAsia="Arial" w:hAnsi="Arial" w:cs="Arial"/>
      <w:b/>
      <w:color w:val="000000"/>
      <w:sz w:val="28"/>
    </w:rPr>
  </w:style>
  <w:style w:type="table" w:customStyle="1" w:styleId="TableGrid">
    <w:name w:val="TableGrid"/>
    <w:rsid w:val="00911E19"/>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0404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0446"/>
    <w:rPr>
      <w:rFonts w:ascii="Tahoma" w:eastAsia="Arial" w:hAnsi="Tahoma" w:cs="Tahoma"/>
      <w:color w:val="000000"/>
      <w:sz w:val="16"/>
      <w:szCs w:val="16"/>
    </w:rPr>
  </w:style>
  <w:style w:type="table" w:styleId="Tabelacomgrade">
    <w:name w:val="Table Grid"/>
    <w:basedOn w:val="Tabelanormal"/>
    <w:uiPriority w:val="39"/>
    <w:rsid w:val="0057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raDiT">
    <w:name w:val="SIGraDi T"/>
    <w:basedOn w:val="Normal"/>
    <w:qFormat/>
    <w:rsid w:val="005D20FE"/>
    <w:pPr>
      <w:spacing w:after="0" w:line="240" w:lineRule="auto"/>
      <w:ind w:left="0" w:firstLine="0"/>
      <w:jc w:val="left"/>
    </w:pPr>
    <w:rPr>
      <w:b/>
      <w:color w:val="4686A3"/>
      <w:sz w:val="28"/>
      <w:lang w:val="en-US"/>
    </w:rPr>
  </w:style>
  <w:style w:type="paragraph" w:customStyle="1" w:styleId="SIGraDilegendafigura">
    <w:name w:val="SIGraDi legenda figura"/>
    <w:basedOn w:val="SIGraDilegendatabela"/>
    <w:qFormat/>
    <w:rsid w:val="001D4CB8"/>
    <w:pPr>
      <w:ind w:left="0" w:firstLine="0"/>
      <w:jc w:val="center"/>
    </w:pPr>
  </w:style>
  <w:style w:type="paragraph" w:styleId="MapadoDocumento">
    <w:name w:val="Document Map"/>
    <w:basedOn w:val="Normal"/>
    <w:link w:val="MapadoDocumentoChar"/>
    <w:uiPriority w:val="99"/>
    <w:semiHidden/>
    <w:unhideWhenUsed/>
    <w:rsid w:val="006F5941"/>
    <w:pPr>
      <w:spacing w:after="0" w:line="240" w:lineRule="auto"/>
    </w:pPr>
    <w:rPr>
      <w:rFonts w:ascii="Lucida Grande" w:hAnsi="Lucida Grande" w:cs="Lucida Grande"/>
      <w:sz w:val="24"/>
      <w:szCs w:val="24"/>
    </w:rPr>
  </w:style>
  <w:style w:type="paragraph" w:customStyle="1" w:styleId="SIGraDiAutor">
    <w:name w:val="SIGraDi Autor"/>
    <w:basedOn w:val="Normal"/>
    <w:qFormat/>
    <w:rsid w:val="008A44D1"/>
    <w:pPr>
      <w:spacing w:after="0" w:line="240" w:lineRule="auto"/>
      <w:ind w:left="2268" w:firstLine="0"/>
      <w:jc w:val="left"/>
    </w:pPr>
    <w:rPr>
      <w:b/>
      <w:color w:val="000000" w:themeColor="text1"/>
    </w:rPr>
  </w:style>
  <w:style w:type="paragraph" w:customStyle="1" w:styleId="SIGraDiInstituc">
    <w:name w:val="SIGraDi Instituc"/>
    <w:basedOn w:val="Normal"/>
    <w:qFormat/>
    <w:rsid w:val="00B6335C"/>
    <w:pPr>
      <w:spacing w:after="60" w:line="240" w:lineRule="auto"/>
      <w:ind w:left="680" w:firstLine="0"/>
      <w:jc w:val="left"/>
    </w:pPr>
  </w:style>
  <w:style w:type="paragraph" w:customStyle="1" w:styleId="SIGradiAddress">
    <w:name w:val="SIGradi Address"/>
    <w:basedOn w:val="Normal"/>
    <w:qFormat/>
    <w:rsid w:val="008A44D1"/>
    <w:pPr>
      <w:spacing w:after="120" w:line="240" w:lineRule="auto"/>
      <w:ind w:left="2268" w:firstLine="0"/>
      <w:jc w:val="left"/>
    </w:pPr>
    <w:rPr>
      <w:color w:val="4686A3"/>
    </w:rPr>
  </w:style>
  <w:style w:type="paragraph" w:customStyle="1" w:styleId="SIGraDiAbstract">
    <w:name w:val="SIGraDi Abstract"/>
    <w:basedOn w:val="Ttulo2"/>
    <w:link w:val="SIGraDiAbstractCar"/>
    <w:qFormat/>
    <w:rsid w:val="008A44D1"/>
    <w:pPr>
      <w:spacing w:after="80"/>
      <w:ind w:left="2268" w:right="0" w:firstLine="0"/>
    </w:pPr>
    <w:rPr>
      <w:color w:val="4686A3"/>
    </w:rPr>
  </w:style>
  <w:style w:type="character" w:customStyle="1" w:styleId="SIGraDiAbstractCar">
    <w:name w:val="SIGraDi Abstract Car"/>
    <w:basedOn w:val="Ttulo2Char"/>
    <w:link w:val="SIGraDiAbstract"/>
    <w:rsid w:val="008A44D1"/>
    <w:rPr>
      <w:rFonts w:ascii="Arial" w:eastAsia="Arial" w:hAnsi="Arial" w:cs="Arial"/>
      <w:b/>
      <w:color w:val="4686A3"/>
      <w:sz w:val="20"/>
    </w:rPr>
  </w:style>
  <w:style w:type="paragraph" w:customStyle="1" w:styleId="SIGraDiTextAbst">
    <w:name w:val="SIGraDi Text Abst"/>
    <w:basedOn w:val="Normal"/>
    <w:qFormat/>
    <w:rsid w:val="008A44D1"/>
    <w:pPr>
      <w:ind w:left="2268" w:firstLine="0"/>
    </w:pPr>
    <w:rPr>
      <w:lang w:val="en-US"/>
    </w:rPr>
  </w:style>
  <w:style w:type="paragraph" w:customStyle="1" w:styleId="SIGraDiKeywords">
    <w:name w:val="SIGraDi Keywords"/>
    <w:basedOn w:val="Normal"/>
    <w:qFormat/>
    <w:rsid w:val="00A37883"/>
    <w:pPr>
      <w:spacing w:after="0" w:line="240" w:lineRule="auto"/>
      <w:ind w:left="0" w:firstLine="0"/>
    </w:pPr>
    <w:rPr>
      <w:b/>
      <w:sz w:val="16"/>
    </w:rPr>
  </w:style>
  <w:style w:type="paragraph" w:customStyle="1" w:styleId="SIGraDiTextKey">
    <w:name w:val="SIGraDi Text Key"/>
    <w:basedOn w:val="Normal"/>
    <w:qFormat/>
    <w:rsid w:val="008A44D1"/>
    <w:pPr>
      <w:spacing w:after="360" w:line="240" w:lineRule="auto"/>
      <w:ind w:left="2268" w:firstLine="0"/>
    </w:pPr>
    <w:rPr>
      <w:sz w:val="16"/>
    </w:rPr>
  </w:style>
  <w:style w:type="paragraph" w:customStyle="1" w:styleId="SIGraDiT2">
    <w:name w:val="SIGraDi T 2"/>
    <w:basedOn w:val="Ttulo1"/>
    <w:link w:val="SIGraDiT2Car"/>
    <w:qFormat/>
    <w:rsid w:val="001D4CB8"/>
    <w:pPr>
      <w:spacing w:after="80"/>
      <w:ind w:left="0" w:right="0" w:firstLine="0"/>
    </w:pPr>
    <w:rPr>
      <w:caps/>
      <w:color w:val="4686A3"/>
      <w:sz w:val="24"/>
      <w:lang w:val="pt-BR"/>
    </w:rPr>
  </w:style>
  <w:style w:type="character" w:customStyle="1" w:styleId="SIGraDiT2Car">
    <w:name w:val="SIGraDi T 2 Car"/>
    <w:basedOn w:val="Ttulo1Char"/>
    <w:link w:val="SIGraDiT2"/>
    <w:rsid w:val="001D4CB8"/>
    <w:rPr>
      <w:rFonts w:ascii="Arial" w:eastAsia="Arial" w:hAnsi="Arial" w:cs="Arial"/>
      <w:b/>
      <w:caps/>
      <w:color w:val="4686A3"/>
      <w:sz w:val="24"/>
      <w:lang w:val="pt-BR"/>
    </w:rPr>
  </w:style>
  <w:style w:type="paragraph" w:customStyle="1" w:styleId="SIGraDiT3">
    <w:name w:val="SIGraDi T 3"/>
    <w:basedOn w:val="Ttulo2"/>
    <w:link w:val="SIGraDiT3Car"/>
    <w:qFormat/>
    <w:rsid w:val="001D4CB8"/>
    <w:pPr>
      <w:spacing w:after="80"/>
      <w:ind w:left="0" w:right="0" w:firstLine="0"/>
    </w:pPr>
    <w:rPr>
      <w:caps/>
      <w:color w:val="4686A3"/>
      <w:sz w:val="18"/>
      <w:lang w:val="pt-BR"/>
    </w:rPr>
  </w:style>
  <w:style w:type="character" w:customStyle="1" w:styleId="SIGraDiT3Car">
    <w:name w:val="SIGraDi T 3 Car"/>
    <w:basedOn w:val="Ttulo2Char"/>
    <w:link w:val="SIGraDiT3"/>
    <w:rsid w:val="001D4CB8"/>
    <w:rPr>
      <w:rFonts w:ascii="Arial" w:eastAsia="Arial" w:hAnsi="Arial" w:cs="Arial"/>
      <w:b/>
      <w:caps/>
      <w:color w:val="4686A3"/>
      <w:sz w:val="18"/>
      <w:lang w:val="pt-BR"/>
    </w:rPr>
  </w:style>
  <w:style w:type="paragraph" w:customStyle="1" w:styleId="SIGraDiDescTab">
    <w:name w:val="SIGraDi Desc Tab"/>
    <w:basedOn w:val="Normal"/>
    <w:qFormat/>
    <w:rsid w:val="00E916B8"/>
    <w:pPr>
      <w:spacing w:after="120" w:line="240" w:lineRule="auto"/>
      <w:ind w:left="0" w:firstLine="0"/>
      <w:jc w:val="center"/>
    </w:pPr>
    <w:rPr>
      <w:sz w:val="16"/>
    </w:rPr>
  </w:style>
  <w:style w:type="paragraph" w:customStyle="1" w:styleId="SIGraDiCitac">
    <w:name w:val="SIGraDi Citac"/>
    <w:basedOn w:val="Normal"/>
    <w:qFormat/>
    <w:rsid w:val="00F46E7D"/>
    <w:pPr>
      <w:numPr>
        <w:numId w:val="2"/>
      </w:numPr>
      <w:spacing w:after="10" w:line="240" w:lineRule="auto"/>
      <w:ind w:left="340" w:hanging="340"/>
    </w:pPr>
    <w:rPr>
      <w:sz w:val="16"/>
    </w:rPr>
  </w:style>
  <w:style w:type="paragraph" w:customStyle="1" w:styleId="SIGraDiRef">
    <w:name w:val="SIGraDi Ref"/>
    <w:basedOn w:val="Normal"/>
    <w:qFormat/>
    <w:rsid w:val="001D4CB8"/>
    <w:pPr>
      <w:spacing w:after="120" w:line="240" w:lineRule="auto"/>
      <w:ind w:left="284" w:hanging="284"/>
    </w:pPr>
    <w:rPr>
      <w:sz w:val="16"/>
    </w:rPr>
  </w:style>
  <w:style w:type="character" w:customStyle="1" w:styleId="MapadoDocumentoChar">
    <w:name w:val="Mapa do Documento Char"/>
    <w:basedOn w:val="Fontepargpadro"/>
    <w:link w:val="MapadoDocumento"/>
    <w:uiPriority w:val="99"/>
    <w:semiHidden/>
    <w:rsid w:val="006F5941"/>
    <w:rPr>
      <w:rFonts w:ascii="Lucida Grande" w:eastAsia="Arial" w:hAnsi="Lucida Grande" w:cs="Lucida Grande"/>
      <w:color w:val="000000"/>
      <w:sz w:val="24"/>
      <w:szCs w:val="24"/>
    </w:rPr>
  </w:style>
  <w:style w:type="paragraph" w:styleId="Reviso">
    <w:name w:val="Revision"/>
    <w:hidden/>
    <w:uiPriority w:val="99"/>
    <w:semiHidden/>
    <w:rsid w:val="006F5941"/>
    <w:pPr>
      <w:spacing w:after="0" w:line="240" w:lineRule="auto"/>
    </w:pPr>
    <w:rPr>
      <w:rFonts w:ascii="Arial" w:eastAsia="Arial" w:hAnsi="Arial" w:cs="Arial"/>
      <w:color w:val="000000"/>
      <w:sz w:val="18"/>
    </w:rPr>
  </w:style>
  <w:style w:type="paragraph" w:styleId="Cabealho">
    <w:name w:val="header"/>
    <w:basedOn w:val="Normal"/>
    <w:link w:val="CabealhoChar"/>
    <w:uiPriority w:val="99"/>
    <w:unhideWhenUsed/>
    <w:rsid w:val="008034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477"/>
    <w:rPr>
      <w:rFonts w:ascii="Arial" w:eastAsia="Arial" w:hAnsi="Arial" w:cs="Arial"/>
      <w:color w:val="000000"/>
      <w:sz w:val="18"/>
    </w:rPr>
  </w:style>
  <w:style w:type="paragraph" w:styleId="Rodap">
    <w:name w:val="footer"/>
    <w:basedOn w:val="Normal"/>
    <w:link w:val="RodapChar"/>
    <w:uiPriority w:val="99"/>
    <w:unhideWhenUsed/>
    <w:rsid w:val="00803477"/>
    <w:pPr>
      <w:tabs>
        <w:tab w:val="center" w:pos="4252"/>
        <w:tab w:val="right" w:pos="8504"/>
      </w:tabs>
      <w:spacing w:after="0" w:line="240" w:lineRule="auto"/>
    </w:pPr>
  </w:style>
  <w:style w:type="character" w:customStyle="1" w:styleId="RodapChar">
    <w:name w:val="Rodapé Char"/>
    <w:basedOn w:val="Fontepargpadro"/>
    <w:link w:val="Rodap"/>
    <w:uiPriority w:val="99"/>
    <w:rsid w:val="00803477"/>
    <w:rPr>
      <w:rFonts w:ascii="Arial" w:eastAsia="Arial" w:hAnsi="Arial" w:cs="Arial"/>
      <w:color w:val="000000"/>
      <w:sz w:val="18"/>
    </w:rPr>
  </w:style>
  <w:style w:type="paragraph" w:styleId="Legenda">
    <w:name w:val="caption"/>
    <w:basedOn w:val="Normal"/>
    <w:next w:val="Normal"/>
    <w:uiPriority w:val="35"/>
    <w:unhideWhenUsed/>
    <w:qFormat/>
    <w:rsid w:val="00E916B8"/>
    <w:pPr>
      <w:spacing w:after="200" w:line="240" w:lineRule="auto"/>
    </w:pPr>
    <w:rPr>
      <w:b/>
      <w:bCs/>
      <w:color w:val="5B9BD5" w:themeColor="accent1"/>
      <w:szCs w:val="18"/>
    </w:rPr>
  </w:style>
  <w:style w:type="paragraph" w:styleId="TextosemFormatao">
    <w:name w:val="Plain Text"/>
    <w:aliases w:val="Subsection text"/>
    <w:basedOn w:val="Normal"/>
    <w:link w:val="TextosemFormataoChar"/>
    <w:rsid w:val="00C40F0F"/>
    <w:pPr>
      <w:spacing w:after="0" w:line="240" w:lineRule="auto"/>
      <w:ind w:left="0" w:firstLine="0"/>
    </w:pPr>
    <w:rPr>
      <w:rFonts w:eastAsia="MS Mincho"/>
      <w:color w:val="auto"/>
      <w:szCs w:val="20"/>
      <w:lang w:val="en-GB"/>
    </w:rPr>
  </w:style>
  <w:style w:type="character" w:customStyle="1" w:styleId="TextosemFormataoChar">
    <w:name w:val="Texto sem Formatação Char"/>
    <w:aliases w:val="Subsection text Char"/>
    <w:basedOn w:val="Fontepargpadro"/>
    <w:link w:val="TextosemFormatao"/>
    <w:rsid w:val="00C40F0F"/>
    <w:rPr>
      <w:rFonts w:ascii="Arial" w:eastAsia="MS Mincho" w:hAnsi="Arial" w:cs="Arial"/>
      <w:sz w:val="18"/>
      <w:szCs w:val="20"/>
      <w:lang w:val="en-GB"/>
    </w:rPr>
  </w:style>
  <w:style w:type="table" w:customStyle="1" w:styleId="SombreamentoClaro">
    <w:name w:val="Light Shading"/>
    <w:basedOn w:val="Tabelanormal"/>
    <w:uiPriority w:val="60"/>
    <w:rsid w:val="00C40F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
    <w:name w:val="Light List"/>
    <w:basedOn w:val="Tabelanormal"/>
    <w:uiPriority w:val="61"/>
    <w:rsid w:val="00C40F0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Nmerodepgina">
    <w:name w:val="page number"/>
    <w:basedOn w:val="Fontepargpadro"/>
    <w:uiPriority w:val="99"/>
    <w:semiHidden/>
    <w:unhideWhenUsed/>
    <w:rsid w:val="000D7172"/>
  </w:style>
  <w:style w:type="paragraph" w:customStyle="1" w:styleId="SIGraDiTextoPort">
    <w:name w:val="SIGraDi Texto Port"/>
    <w:basedOn w:val="Normal"/>
    <w:qFormat/>
    <w:rsid w:val="001D4CB8"/>
  </w:style>
  <w:style w:type="paragraph" w:customStyle="1" w:styleId="SIGraDilegendatabela">
    <w:name w:val="SIGraDi legenda tabela"/>
    <w:basedOn w:val="Legenda"/>
    <w:qFormat/>
    <w:rsid w:val="00501A54"/>
    <w:pPr>
      <w:keepNext/>
    </w:pPr>
    <w:rPr>
      <w:b w:val="0"/>
      <w:color w:val="595959" w:themeColor="text1" w:themeTint="A6"/>
      <w:sz w:val="16"/>
    </w:rPr>
  </w:style>
  <w:style w:type="paragraph" w:customStyle="1" w:styleId="normal0">
    <w:name w:val="normal"/>
    <w:rsid w:val="00631923"/>
    <w:pPr>
      <w:spacing w:after="242" w:line="250" w:lineRule="auto"/>
      <w:ind w:left="-5" w:hanging="10"/>
      <w:jc w:val="both"/>
    </w:pPr>
    <w:rPr>
      <w:rFonts w:ascii="Arial" w:eastAsia="Arial" w:hAnsi="Arial" w:cs="Arial"/>
      <w:color w:val="595959"/>
      <w:sz w:val="18"/>
      <w:szCs w:val="18"/>
      <w:lang w:val="pt-BR" w:eastAsia="pt-BR"/>
    </w:rPr>
  </w:style>
  <w:style w:type="character" w:styleId="Hyperlink">
    <w:name w:val="Hyperlink"/>
    <w:basedOn w:val="Fontepargpadro"/>
    <w:uiPriority w:val="99"/>
    <w:unhideWhenUsed/>
    <w:rsid w:val="00011601"/>
    <w:rPr>
      <w:color w:val="0563C1" w:themeColor="hyperlink"/>
      <w:u w:val="single"/>
    </w:rPr>
  </w:style>
  <w:style w:type="character" w:customStyle="1" w:styleId="selectable">
    <w:name w:val="selectable"/>
    <w:basedOn w:val="Fontepargpadro"/>
    <w:rsid w:val="006F6DC6"/>
  </w:style>
</w:styles>
</file>

<file path=word/webSettings.xml><?xml version="1.0" encoding="utf-8"?>
<w:webSettings xmlns:r="http://schemas.openxmlformats.org/officeDocument/2006/relationships" xmlns:w="http://schemas.openxmlformats.org/wordprocessingml/2006/main">
  <w:divs>
    <w:div w:id="96758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lstatela.edu/library/guides/3apa.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a\Documents\Artigo%20mobilidade\SIGraDi2018_template_PT(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Wil08</b:Tag>
    <b:SourceType>JournalArticle</b:SourceType>
    <b:Guid>{21DBFB31-A4A3-EC40-8C20-8C05666D2F16}</b:Guid>
    <b:Title>Employee engagement: Improving articipation in safety. </b:Title>
    <b:Year>2008</b:Year>
    <b:Volume>12</b:Volume>
    <b:Pages>40-45  </b:Pages>
    <b:Author>
      <b:Author>
        <b:NameList>
          <b:Person>
            <b:Last>Williams</b:Last>
            <b:First>J.</b:First>
            <b:Middle>H.</b:Middle>
          </b:Person>
        </b:NameList>
      </b:Author>
    </b:Author>
    <b:JournalName>Professional Safety, </b:JournalName>
    <b:Issue>53</b:Issue>
    <b:RefOrder>1</b:RefOrder>
  </b:Source>
</b:Sources>
</file>

<file path=customXml/itemProps1.xml><?xml version="1.0" encoding="utf-8"?>
<ds:datastoreItem xmlns:ds="http://schemas.openxmlformats.org/officeDocument/2006/customXml" ds:itemID="{F04E061E-7C56-184B-8B66-5B65929A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SIGraDi2018_template_PT(2)</Template>
  <TotalTime>60</TotalTime>
  <Pages>6</Pages>
  <Words>4706</Words>
  <Characters>25414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cp:lastModifiedBy>
  <cp:revision>10</cp:revision>
  <dcterms:created xsi:type="dcterms:W3CDTF">2018-07-02T19:44:00Z</dcterms:created>
  <dcterms:modified xsi:type="dcterms:W3CDTF">2018-07-02T20:48:00Z</dcterms:modified>
</cp:coreProperties>
</file>