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80" w:lineRule="auto"/>
        <w:rPr>
          <w:b w:val="1"/>
          <w:color w:val="ff0000"/>
          <w:sz w:val="20"/>
          <w:szCs w:val="20"/>
        </w:rPr>
      </w:pPr>
      <w:r w:rsidDel="00000000" w:rsidR="00000000" w:rsidRPr="00000000">
        <w:rPr>
          <w:sz w:val="19"/>
          <w:szCs w:val="19"/>
          <w:rtl w:val="0"/>
        </w:rPr>
        <w:t xml:space="preserve">Autores: Marcelo Maia, Jessica Borges, Michele Brito, Ana Isabel</w:t>
      </w:r>
      <w:r w:rsidDel="00000000" w:rsidR="00000000" w:rsidRPr="00000000">
        <w:rPr>
          <w:rtl w:val="0"/>
        </w:rPr>
      </w:r>
    </w:p>
    <w:p w:rsidR="00000000" w:rsidDel="00000000" w:rsidP="00000000" w:rsidRDefault="00000000" w:rsidRPr="00000000" w14:paraId="00000002">
      <w:pPr>
        <w:jc w:val="both"/>
        <w:rPr>
          <w:b w:val="1"/>
          <w:color w:val="ff0000"/>
          <w:sz w:val="20"/>
          <w:szCs w:val="20"/>
        </w:rPr>
      </w:pPr>
      <w:commentRangeStart w:id="0"/>
      <w:r w:rsidDel="00000000" w:rsidR="00000000" w:rsidRPr="00000000">
        <w:rPr>
          <w:b w:val="1"/>
          <w:color w:val="ff0000"/>
          <w:sz w:val="20"/>
          <w:szCs w:val="20"/>
          <w:rtl w:val="0"/>
        </w:rPr>
        <w:t xml:space="preserve">OBS: tem 521 palavras aqui, tem que reduzir para 500.</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jc w:val="both"/>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04">
      <w:pPr>
        <w:jc w:val="both"/>
        <w:rPr>
          <w:b w:val="1"/>
          <w:sz w:val="19"/>
          <w:szCs w:val="19"/>
        </w:rPr>
      </w:pPr>
      <w:r w:rsidDel="00000000" w:rsidR="00000000" w:rsidRPr="00000000">
        <w:rPr>
          <w:b w:val="1"/>
          <w:sz w:val="20"/>
          <w:szCs w:val="20"/>
          <w:rtl w:val="0"/>
        </w:rPr>
        <w:t xml:space="preserve">tecnologia e política da internet das coisas para melhorias no sistema de transporte urbano em Belo Horizonte</w:t>
      </w:r>
      <w:r w:rsidDel="00000000" w:rsidR="00000000" w:rsidRPr="00000000">
        <w:rPr>
          <w:rtl w:val="0"/>
        </w:rPr>
      </w:r>
    </w:p>
    <w:p w:rsidR="00000000" w:rsidDel="00000000" w:rsidP="00000000" w:rsidRDefault="00000000" w:rsidRPr="00000000" w14:paraId="00000005">
      <w:pPr>
        <w:spacing w:after="0" w:line="240" w:lineRule="auto"/>
        <w:jc w:val="both"/>
        <w:rPr>
          <w:sz w:val="19"/>
          <w:szCs w:val="19"/>
        </w:rPr>
      </w:pPr>
      <w:r w:rsidDel="00000000" w:rsidR="00000000" w:rsidRPr="00000000">
        <w:rPr>
          <w:b w:val="1"/>
          <w:sz w:val="20"/>
          <w:szCs w:val="20"/>
          <w:rtl w:val="0"/>
        </w:rPr>
        <w:t xml:space="preserve">Palavras chave</w:t>
      </w:r>
      <w:r w:rsidDel="00000000" w:rsidR="00000000" w:rsidRPr="00000000">
        <w:rPr>
          <w:rtl w:val="0"/>
        </w:rPr>
      </w:r>
    </w:p>
    <w:p w:rsidR="00000000" w:rsidDel="00000000" w:rsidP="00000000" w:rsidRDefault="00000000" w:rsidRPr="00000000" w14:paraId="00000006">
      <w:pPr>
        <w:spacing w:after="0" w:line="240" w:lineRule="auto"/>
        <w:jc w:val="both"/>
        <w:rPr>
          <w:sz w:val="19"/>
          <w:szCs w:val="19"/>
        </w:rPr>
      </w:pPr>
      <w:r w:rsidDel="00000000" w:rsidR="00000000" w:rsidRPr="00000000">
        <w:rPr>
          <w:sz w:val="19"/>
          <w:szCs w:val="19"/>
          <w:rtl w:val="0"/>
        </w:rPr>
        <w:t xml:space="preserve">sistemas de transporte urbano; tecnopolíticas; internet das coisas; cidades inteligentes; cidade instantânea</w:t>
      </w:r>
    </w:p>
    <w:p w:rsidR="00000000" w:rsidDel="00000000" w:rsidP="00000000" w:rsidRDefault="00000000" w:rsidRPr="00000000" w14:paraId="00000007">
      <w:pPr>
        <w:spacing w:after="0" w:line="240" w:lineRule="auto"/>
        <w:jc w:val="both"/>
        <w:rPr>
          <w:sz w:val="19"/>
          <w:szCs w:val="19"/>
        </w:rPr>
      </w:pPr>
      <w:r w:rsidDel="00000000" w:rsidR="00000000" w:rsidRPr="00000000">
        <w:rPr>
          <w:rtl w:val="0"/>
        </w:rPr>
      </w:r>
    </w:p>
    <w:p w:rsidR="00000000" w:rsidDel="00000000" w:rsidP="00000000" w:rsidRDefault="00000000" w:rsidRPr="00000000" w14:paraId="00000008">
      <w:pPr>
        <w:spacing w:after="0" w:line="240" w:lineRule="auto"/>
        <w:jc w:val="both"/>
        <w:rPr>
          <w:b w:val="1"/>
          <w:sz w:val="19"/>
          <w:szCs w:val="19"/>
        </w:rPr>
      </w:pPr>
      <w:r w:rsidDel="00000000" w:rsidR="00000000" w:rsidRPr="00000000">
        <w:rPr>
          <w:b w:val="1"/>
          <w:sz w:val="19"/>
          <w:szCs w:val="19"/>
          <w:rtl w:val="0"/>
        </w:rPr>
        <w:t xml:space="preserve">Introdução</w:t>
      </w:r>
    </w:p>
    <w:p w:rsidR="00000000" w:rsidDel="00000000" w:rsidP="00000000" w:rsidRDefault="00000000" w:rsidRPr="00000000" w14:paraId="00000009">
      <w:pPr>
        <w:spacing w:after="0" w:line="240" w:lineRule="auto"/>
        <w:jc w:val="both"/>
        <w:rPr>
          <w:sz w:val="20"/>
          <w:szCs w:val="20"/>
        </w:rPr>
      </w:pPr>
      <w:r w:rsidDel="00000000" w:rsidR="00000000" w:rsidRPr="00000000">
        <w:rPr>
          <w:sz w:val="20"/>
          <w:szCs w:val="20"/>
          <w:highlight w:val="white"/>
          <w:rtl w:val="0"/>
        </w:rPr>
        <w:t xml:space="preserve">Atualmente, em Belo Horizonte, o automóvel particular é a primeira opção de muitos cidadãos, por ser mais </w:t>
      </w:r>
      <w:commentRangeStart w:id="1"/>
      <w:r w:rsidDel="00000000" w:rsidR="00000000" w:rsidRPr="00000000">
        <w:rPr>
          <w:sz w:val="20"/>
          <w:szCs w:val="20"/>
          <w:highlight w:val="white"/>
          <w:rtl w:val="0"/>
        </w:rPr>
        <w:t xml:space="preserve">ágil, seguro e confortável</w:t>
      </w:r>
      <w:commentRangeEnd w:id="1"/>
      <w:r w:rsidDel="00000000" w:rsidR="00000000" w:rsidRPr="00000000">
        <w:commentReference w:id="1"/>
      </w:r>
      <w:r w:rsidDel="00000000" w:rsidR="00000000" w:rsidRPr="00000000">
        <w:rPr>
          <w:sz w:val="20"/>
          <w:szCs w:val="20"/>
          <w:highlight w:val="white"/>
          <w:rtl w:val="0"/>
        </w:rPr>
        <w:t xml:space="preserve">. Este trabalho busca caminhos para mudar esse cenário.</w:t>
      </w:r>
      <w:r w:rsidDel="00000000" w:rsidR="00000000" w:rsidRPr="00000000">
        <w:rPr>
          <w:sz w:val="19"/>
          <w:szCs w:val="19"/>
          <w:rtl w:val="0"/>
        </w:rPr>
        <w:t xml:space="preserve"> </w:t>
      </w:r>
      <w:r w:rsidDel="00000000" w:rsidR="00000000" w:rsidRPr="00000000">
        <w:rPr>
          <w:sz w:val="20"/>
          <w:szCs w:val="20"/>
          <w:rtl w:val="0"/>
        </w:rPr>
        <w:t xml:space="preserve">Observamos, nos últimos anos, que a usabilidade dos sistemas da economia do compartilhamento, como Uber e AirBnB, tem sido facilitadores e incentivadores dos usuários. Sua experiência e facilidade de uso fazem muita diferença na adesão e intensidade de utilização dos sistemas. Ao mesmo tempo, assistimos uma disputa política na regulamentação destes novos sistemas da economia do compartilhamento, logo, a problemática abordada está na tecnologia aplicada ao cotidiano urbano e em suas políticas. A relevância deste trabalho consiste em identificar e apontar soluções para incentivar o uso do transporte público urbano e fomentar políticas que possam incorporar tecnologias disponíveis tais como a internet das coisas (IoT). Entende-se como IoT a conexão dos dados coletados por múltiplos sensores a aplicações (softwares) que processam esses dados em tempo real. Em nossos sistemas de transporte urbano, temos painéis informativos em pontos de ônibus, estações, terminais, monitoramento de ônibus por GPS, sistemas de catraca com bilhete eletrônico e usuário identificado, que juntamente com outros sensores e em rede, são a infraestrutura que pode conformar uma IoT voltada ao transporte urbano.</w:t>
      </w:r>
      <w:r w:rsidDel="00000000" w:rsidR="00000000" w:rsidRPr="00000000">
        <w:rPr>
          <w:sz w:val="19"/>
          <w:szCs w:val="19"/>
          <w:rtl w:val="0"/>
        </w:rPr>
        <w:t xml:space="preserve"> Considerando a infraestrutura já instalada, </w:t>
      </w:r>
      <w:r w:rsidDel="00000000" w:rsidR="00000000" w:rsidRPr="00000000">
        <w:rPr>
          <w:sz w:val="20"/>
          <w:szCs w:val="20"/>
          <w:rtl w:val="0"/>
        </w:rPr>
        <w:t xml:space="preserve">é preciso ter uma política clara de uso, distribuição e compartilhamento dos dados coletados entre usuários, poder público e empresas que integram o sistema de transporte público urbano, de modo a promover melhorias no serviço. </w:t>
      </w:r>
    </w:p>
    <w:p w:rsidR="00000000" w:rsidDel="00000000" w:rsidP="00000000" w:rsidRDefault="00000000" w:rsidRPr="00000000" w14:paraId="0000000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sz w:val="19"/>
          <w:szCs w:val="19"/>
        </w:rPr>
      </w:pPr>
      <w:r w:rsidDel="00000000" w:rsidR="00000000" w:rsidRPr="00000000">
        <w:rPr>
          <w:b w:val="1"/>
          <w:sz w:val="19"/>
          <w:szCs w:val="19"/>
          <w:rtl w:val="0"/>
        </w:rPr>
        <w:t xml:space="preserve">Metodologia</w:t>
      </w:r>
      <w:r w:rsidDel="00000000" w:rsidR="00000000" w:rsidRPr="00000000">
        <w:rPr>
          <w:rtl w:val="0"/>
        </w:rPr>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O trabalho proposto </w:t>
      </w:r>
      <w:r w:rsidDel="00000000" w:rsidR="00000000" w:rsidRPr="00000000">
        <w:rPr>
          <w:sz w:val="20"/>
          <w:szCs w:val="20"/>
          <w:rtl w:val="0"/>
        </w:rPr>
        <w:t xml:space="preserve">faz uma análise dos dados que estão sendo coletados hoje em Belo Horizonte, observando políticas de uso, distribuição e compartilhamento, analisando se exploram todo seu potencial. A avaliação terá como referência a experiência da agência de transporte regional: OV-bureau Groningen Drenthe da Holanda, buscando sugestões de aplicações que poderiam criar uma interface inteligente entre usuários, poder público e empresas de transporte. Parte deste estudo comparativo consiste em experimentos práticos nos quais um grupo de usuários de transporte público em Belo Horizonte fornecem relatos de sua experiência cotidiana, observando parâmetros delimitados previamente. </w:t>
      </w:r>
    </w:p>
    <w:p w:rsidR="00000000" w:rsidDel="00000000" w:rsidP="00000000" w:rsidRDefault="00000000" w:rsidRPr="00000000" w14:paraId="0000000D">
      <w:pPr>
        <w:spacing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b w:val="1"/>
          <w:sz w:val="19"/>
          <w:szCs w:val="19"/>
        </w:rPr>
      </w:pPr>
      <w:r w:rsidDel="00000000" w:rsidR="00000000" w:rsidRPr="00000000">
        <w:rPr>
          <w:b w:val="1"/>
          <w:sz w:val="19"/>
          <w:szCs w:val="19"/>
          <w:rtl w:val="0"/>
        </w:rPr>
        <w:t xml:space="preserve">Resultados</w:t>
      </w:r>
    </w:p>
    <w:p w:rsidR="00000000" w:rsidDel="00000000" w:rsidP="00000000" w:rsidRDefault="00000000" w:rsidRPr="00000000" w14:paraId="0000000F">
      <w:pPr>
        <w:spacing w:after="0" w:line="240" w:lineRule="auto"/>
        <w:jc w:val="both"/>
        <w:rPr>
          <w:sz w:val="19"/>
          <w:szCs w:val="19"/>
        </w:rPr>
      </w:pPr>
      <w:r w:rsidDel="00000000" w:rsidR="00000000" w:rsidRPr="00000000">
        <w:rPr>
          <w:sz w:val="19"/>
          <w:szCs w:val="19"/>
          <w:rtl w:val="0"/>
        </w:rPr>
        <w:t xml:space="preserve">Pretende-se sugerir investimentos em aplicações, principalmente móveis, que possam colocar em comunicação, em tempo real, empresas de ônibus com usuários do sistema de transporte urbano de Belo Horizonte. Como resultados esperados, teremos diretrizes que se desdobram em possíveis políticas de uso e distribuição de dados do sistema de transporte urbano, assim como políticas de gestão integradas à tecnologia da IoT. </w:t>
      </w:r>
      <w:r w:rsidDel="00000000" w:rsidR="00000000" w:rsidRPr="00000000">
        <w:rPr>
          <w:rtl w:val="0"/>
        </w:rPr>
      </w:r>
    </w:p>
    <w:p w:rsidR="00000000" w:rsidDel="00000000" w:rsidP="00000000" w:rsidRDefault="00000000" w:rsidRPr="00000000" w14:paraId="00000010">
      <w:pPr>
        <w:spacing w:after="0" w:line="240" w:lineRule="auto"/>
        <w:jc w:val="both"/>
        <w:rPr>
          <w:sz w:val="19"/>
          <w:szCs w:val="19"/>
        </w:rPr>
      </w:pPr>
      <w:r w:rsidDel="00000000" w:rsidR="00000000" w:rsidRPr="00000000">
        <w:rPr>
          <w:rtl w:val="0"/>
        </w:rPr>
      </w:r>
    </w:p>
    <w:p w:rsidR="00000000" w:rsidDel="00000000" w:rsidP="00000000" w:rsidRDefault="00000000" w:rsidRPr="00000000" w14:paraId="00000011">
      <w:pPr>
        <w:spacing w:after="0" w:line="240" w:lineRule="auto"/>
        <w:jc w:val="both"/>
        <w:rPr>
          <w:b w:val="1"/>
          <w:sz w:val="19"/>
          <w:szCs w:val="19"/>
        </w:rPr>
      </w:pPr>
      <w:r w:rsidDel="00000000" w:rsidR="00000000" w:rsidRPr="00000000">
        <w:rPr>
          <w:b w:val="1"/>
          <w:sz w:val="19"/>
          <w:szCs w:val="19"/>
          <w:rtl w:val="0"/>
        </w:rPr>
        <w:t xml:space="preserve">Discussão</w:t>
      </w:r>
    </w:p>
    <w:p w:rsidR="00000000" w:rsidDel="00000000" w:rsidP="00000000" w:rsidRDefault="00000000" w:rsidRPr="00000000" w14:paraId="00000012">
      <w:pPr>
        <w:spacing w:after="0" w:line="240" w:lineRule="auto"/>
        <w:jc w:val="both"/>
        <w:rPr>
          <w:sz w:val="20"/>
          <w:szCs w:val="20"/>
          <w:highlight w:val="white"/>
        </w:rPr>
      </w:pPr>
      <w:r w:rsidDel="00000000" w:rsidR="00000000" w:rsidRPr="00000000">
        <w:rPr>
          <w:sz w:val="20"/>
          <w:szCs w:val="20"/>
          <w:highlight w:val="white"/>
          <w:rtl w:val="0"/>
        </w:rPr>
        <w:t xml:space="preserve">Este trabalho contribui com avanços tecnológicos em soluções para sistema de transporte urbano utilizando IoT e avanços na discussão sobre projetos de cidades inteligentes contextualizados e adequados às metrópoles brasileiras.</w:t>
      </w:r>
    </w:p>
    <w:p w:rsidR="00000000" w:rsidDel="00000000" w:rsidP="00000000" w:rsidRDefault="00000000" w:rsidRPr="00000000" w14:paraId="00000013">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4">
      <w:pPr>
        <w:spacing w:after="0" w:line="240" w:lineRule="auto"/>
        <w:jc w:val="both"/>
        <w:rPr>
          <w:color w:val="333333"/>
          <w:sz w:val="20"/>
          <w:szCs w:val="20"/>
          <w:highlight w:val="white"/>
        </w:rPr>
      </w:pPr>
      <w:r w:rsidDel="00000000" w:rsidR="00000000" w:rsidRPr="00000000">
        <w:rPr>
          <w:b w:val="1"/>
          <w:sz w:val="19"/>
          <w:szCs w:val="19"/>
          <w:rtl w:val="0"/>
        </w:rPr>
        <w:t xml:space="preserve">Referências</w:t>
      </w:r>
      <w:r w:rsidDel="00000000" w:rsidR="00000000" w:rsidRPr="00000000">
        <w:rPr>
          <w:rtl w:val="0"/>
        </w:rPr>
      </w:r>
    </w:p>
    <w:p w:rsidR="00000000" w:rsidDel="00000000" w:rsidP="00000000" w:rsidRDefault="00000000" w:rsidRPr="00000000" w14:paraId="00000015">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GOLDSMITH, Stephen; CRAWFORD, Susan. The Responsive City: Engaging Communities Through Data-Smart Governance. San Francisco: Jossey-Bass, 2014.</w:t>
      </w:r>
    </w:p>
    <w:p w:rsidR="00000000" w:rsidDel="00000000" w:rsidP="00000000" w:rsidRDefault="00000000" w:rsidRPr="00000000" w14:paraId="00000016">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7">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GREENFIELD, Adam. Radical Technologies: The Design of Everyday Life. New York: Verso Books, 2017.</w:t>
      </w:r>
    </w:p>
    <w:p w:rsidR="00000000" w:rsidDel="00000000" w:rsidP="00000000" w:rsidRDefault="00000000" w:rsidRPr="00000000" w14:paraId="00000018">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9">
      <w:pPr>
        <w:spacing w:line="240" w:lineRule="auto"/>
        <w:jc w:val="both"/>
        <w:rPr/>
      </w:pPr>
      <w:r w:rsidDel="00000000" w:rsidR="00000000" w:rsidRPr="00000000">
        <w:rPr>
          <w:color w:val="333333"/>
          <w:sz w:val="20"/>
          <w:szCs w:val="20"/>
          <w:highlight w:val="white"/>
          <w:rtl w:val="0"/>
        </w:rPr>
        <w:t xml:space="preserve">MAIA, Marcelo R. Cidade Instantânea (IC). São Paulo: FAUUSP, 2013. </w:t>
      </w:r>
      <w:r w:rsidDel="00000000" w:rsidR="00000000" w:rsidRPr="00000000">
        <w:rPr>
          <w:rtl w:val="0"/>
        </w:rPr>
      </w:r>
    </w:p>
    <w:p w:rsidR="00000000" w:rsidDel="00000000" w:rsidP="00000000" w:rsidRDefault="00000000" w:rsidRPr="00000000" w14:paraId="0000001A">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B">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RATTI, Carlo; CLAUDEL, Matthew. The City of Tomorrow: Sensors, Networks, Hackers, and the Future of Urban Life. New Haven: Yale Books, 2016. </w:t>
      </w:r>
    </w:p>
    <w:p w:rsidR="00000000" w:rsidDel="00000000" w:rsidP="00000000" w:rsidRDefault="00000000" w:rsidRPr="00000000" w14:paraId="0000001C">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D">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SASHINSKAYA, Maria. Smart Cities in Europe: Open Data in a Smart Mobility Context. Brussels: SASHINSKAYA, 2014. </w:t>
      </w:r>
    </w:p>
    <w:p w:rsidR="00000000" w:rsidDel="00000000" w:rsidP="00000000" w:rsidRDefault="00000000" w:rsidRPr="00000000" w14:paraId="0000001E">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1F">
      <w:pPr>
        <w:spacing w:line="240" w:lineRule="auto"/>
        <w:jc w:val="both"/>
        <w:rPr>
          <w:color w:val="333333"/>
          <w:sz w:val="20"/>
          <w:szCs w:val="20"/>
          <w:highlight w:val="white"/>
        </w:rPr>
      </w:pPr>
      <w:r w:rsidDel="00000000" w:rsidR="00000000" w:rsidRPr="00000000">
        <w:rPr>
          <w:color w:val="333333"/>
          <w:sz w:val="20"/>
          <w:szCs w:val="20"/>
          <w:highlight w:val="white"/>
          <w:rtl w:val="0"/>
        </w:rPr>
        <w:t xml:space="preserve">O’NEIL, Cathy. Weapons of Math Destruction: How Big Data Increases Inequality and Threatens Democracy. New York: Crown, 2016.</w:t>
      </w:r>
    </w:p>
    <w:p w:rsidR="00000000" w:rsidDel="00000000" w:rsidP="00000000" w:rsidRDefault="00000000" w:rsidRPr="00000000" w14:paraId="00000020">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21">
      <w:pPr>
        <w:spacing w:line="240" w:lineRule="auto"/>
        <w:jc w:val="both"/>
        <w:rPr>
          <w:color w:val="333333"/>
          <w:sz w:val="20"/>
          <w:szCs w:val="20"/>
          <w:highlight w:val="white"/>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We invite the submission of abstracts </w:t>
      </w:r>
      <w:r w:rsidDel="00000000" w:rsidR="00000000" w:rsidRPr="00000000">
        <w:rPr>
          <w:b w:val="1"/>
          <w:sz w:val="19"/>
          <w:szCs w:val="19"/>
          <w:rtl w:val="0"/>
        </w:rPr>
        <w:t xml:space="preserve">(until March 26)</w:t>
      </w:r>
      <w:r w:rsidDel="00000000" w:rsidR="00000000" w:rsidRPr="00000000">
        <w:rPr>
          <w:sz w:val="19"/>
          <w:szCs w:val="19"/>
          <w:rtl w:val="0"/>
        </w:rPr>
        <w:t xml:space="preserve"> in English, Portuguese or Spanish, which will be blindly reviewed by an International Committee, according to the following evaluation criteria:</w:t>
      </w:r>
    </w:p>
    <w:p w:rsidR="00000000" w:rsidDel="00000000" w:rsidP="00000000" w:rsidRDefault="00000000" w:rsidRPr="00000000" w14:paraId="00000023">
      <w:pPr>
        <w:numPr>
          <w:ilvl w:val="0"/>
          <w:numId w:val="2"/>
        </w:numPr>
        <w:spacing w:after="0" w:afterAutospacing="0" w:lineRule="auto"/>
        <w:ind w:left="940" w:hanging="360"/>
        <w:jc w:val="both"/>
        <w:rPr/>
      </w:pPr>
      <w:r w:rsidDel="00000000" w:rsidR="00000000" w:rsidRPr="00000000">
        <w:rPr>
          <w:sz w:val="19"/>
          <w:szCs w:val="19"/>
          <w:rtl w:val="0"/>
        </w:rPr>
        <w:t xml:space="preserve">Concordance with the theme of the Conference: Technopolitics</w:t>
      </w:r>
    </w:p>
    <w:p w:rsidR="00000000" w:rsidDel="00000000" w:rsidP="00000000" w:rsidRDefault="00000000" w:rsidRPr="00000000" w14:paraId="00000024">
      <w:pPr>
        <w:numPr>
          <w:ilvl w:val="0"/>
          <w:numId w:val="2"/>
        </w:numPr>
        <w:spacing w:after="0" w:afterAutospacing="0" w:lineRule="auto"/>
        <w:ind w:left="940" w:hanging="360"/>
        <w:jc w:val="both"/>
        <w:rPr/>
      </w:pPr>
      <w:r w:rsidDel="00000000" w:rsidR="00000000" w:rsidRPr="00000000">
        <w:rPr>
          <w:sz w:val="19"/>
          <w:szCs w:val="19"/>
          <w:rtl w:val="0"/>
        </w:rPr>
        <w:t xml:space="preserve">Originality of the theme, problem or project</w:t>
      </w:r>
    </w:p>
    <w:p w:rsidR="00000000" w:rsidDel="00000000" w:rsidP="00000000" w:rsidRDefault="00000000" w:rsidRPr="00000000" w14:paraId="00000025">
      <w:pPr>
        <w:numPr>
          <w:ilvl w:val="0"/>
          <w:numId w:val="2"/>
        </w:numPr>
        <w:spacing w:after="0" w:afterAutospacing="0" w:lineRule="auto"/>
        <w:ind w:left="940" w:hanging="360"/>
        <w:jc w:val="both"/>
        <w:rPr/>
      </w:pPr>
      <w:r w:rsidDel="00000000" w:rsidR="00000000" w:rsidRPr="00000000">
        <w:rPr>
          <w:sz w:val="19"/>
          <w:szCs w:val="19"/>
          <w:rtl w:val="0"/>
        </w:rPr>
        <w:t xml:space="preserve">Relevance of the contribution to the field</w:t>
      </w:r>
    </w:p>
    <w:p w:rsidR="00000000" w:rsidDel="00000000" w:rsidP="00000000" w:rsidRDefault="00000000" w:rsidRPr="00000000" w14:paraId="00000026">
      <w:pPr>
        <w:numPr>
          <w:ilvl w:val="0"/>
          <w:numId w:val="2"/>
        </w:numPr>
        <w:spacing w:after="0" w:afterAutospacing="0" w:lineRule="auto"/>
        <w:ind w:left="940" w:hanging="360"/>
        <w:jc w:val="both"/>
        <w:rPr/>
      </w:pPr>
      <w:r w:rsidDel="00000000" w:rsidR="00000000" w:rsidRPr="00000000">
        <w:rPr>
          <w:sz w:val="19"/>
          <w:szCs w:val="19"/>
          <w:rtl w:val="0"/>
        </w:rPr>
        <w:t xml:space="preserve">Suitability of the methodology or techniques used</w:t>
      </w:r>
    </w:p>
    <w:p w:rsidR="00000000" w:rsidDel="00000000" w:rsidP="00000000" w:rsidRDefault="00000000" w:rsidRPr="00000000" w14:paraId="00000027">
      <w:pPr>
        <w:numPr>
          <w:ilvl w:val="0"/>
          <w:numId w:val="2"/>
        </w:numPr>
        <w:spacing w:after="0" w:afterAutospacing="0" w:lineRule="auto"/>
        <w:ind w:left="940" w:hanging="360"/>
        <w:jc w:val="both"/>
        <w:rPr/>
      </w:pPr>
      <w:r w:rsidDel="00000000" w:rsidR="00000000" w:rsidRPr="00000000">
        <w:rPr>
          <w:sz w:val="19"/>
          <w:szCs w:val="19"/>
          <w:rtl w:val="0"/>
        </w:rPr>
        <w:t xml:space="preserve">Suitability of the references</w:t>
      </w:r>
    </w:p>
    <w:p w:rsidR="00000000" w:rsidDel="00000000" w:rsidP="00000000" w:rsidRDefault="00000000" w:rsidRPr="00000000" w14:paraId="00000028">
      <w:pPr>
        <w:numPr>
          <w:ilvl w:val="0"/>
          <w:numId w:val="2"/>
        </w:numPr>
        <w:spacing w:after="280" w:lineRule="auto"/>
        <w:ind w:left="940" w:hanging="360"/>
        <w:jc w:val="both"/>
        <w:rPr/>
      </w:pPr>
      <w:r w:rsidDel="00000000" w:rsidR="00000000" w:rsidRPr="00000000">
        <w:rPr>
          <w:sz w:val="19"/>
          <w:szCs w:val="19"/>
          <w:rtl w:val="0"/>
        </w:rPr>
        <w:t xml:space="preserve">Overall organization of the abstract, according to the guidelines defined</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The abstracts submitted must contain a maximum of 500 words, as well as references and bibliography, and be based on the following IMRaD structure:</w:t>
      </w:r>
    </w:p>
    <w:p w:rsidR="00000000" w:rsidDel="00000000" w:rsidP="00000000" w:rsidRDefault="00000000" w:rsidRPr="00000000" w14:paraId="0000002A">
      <w:pPr>
        <w:numPr>
          <w:ilvl w:val="0"/>
          <w:numId w:val="1"/>
        </w:numPr>
        <w:spacing w:after="0" w:afterAutospacing="0" w:lineRule="auto"/>
        <w:ind w:left="940" w:hanging="360"/>
        <w:jc w:val="both"/>
        <w:rPr/>
      </w:pPr>
      <w:r w:rsidDel="00000000" w:rsidR="00000000" w:rsidRPr="00000000">
        <w:rPr>
          <w:sz w:val="19"/>
          <w:szCs w:val="19"/>
          <w:rtl w:val="0"/>
        </w:rPr>
        <w:t xml:space="preserve">TITLE _ The title of the submitted paper should be concise and consistent with the purpose of the study.</w:t>
      </w:r>
    </w:p>
    <w:p w:rsidR="00000000" w:rsidDel="00000000" w:rsidP="00000000" w:rsidRDefault="00000000" w:rsidRPr="00000000" w14:paraId="0000002B">
      <w:pPr>
        <w:numPr>
          <w:ilvl w:val="0"/>
          <w:numId w:val="1"/>
        </w:numPr>
        <w:spacing w:after="0" w:afterAutospacing="0" w:lineRule="auto"/>
        <w:ind w:left="940" w:hanging="360"/>
        <w:jc w:val="both"/>
        <w:rPr/>
      </w:pPr>
      <w:r w:rsidDel="00000000" w:rsidR="00000000" w:rsidRPr="00000000">
        <w:rPr>
          <w:sz w:val="19"/>
          <w:szCs w:val="19"/>
          <w:rtl w:val="0"/>
        </w:rPr>
        <w:t xml:space="preserve">KEYWORDS _ A maximum of 5 Key words that identify the project.</w:t>
      </w:r>
    </w:p>
    <w:p w:rsidR="00000000" w:rsidDel="00000000" w:rsidP="00000000" w:rsidRDefault="00000000" w:rsidRPr="00000000" w14:paraId="0000002C">
      <w:pPr>
        <w:numPr>
          <w:ilvl w:val="0"/>
          <w:numId w:val="1"/>
        </w:numPr>
        <w:spacing w:after="0" w:afterAutospacing="0" w:lineRule="auto"/>
        <w:ind w:left="940" w:hanging="360"/>
        <w:jc w:val="both"/>
        <w:rPr/>
      </w:pPr>
      <w:r w:rsidDel="00000000" w:rsidR="00000000" w:rsidRPr="00000000">
        <w:rPr>
          <w:sz w:val="19"/>
          <w:szCs w:val="19"/>
          <w:rtl w:val="0"/>
        </w:rPr>
        <w:t xml:space="preserve">INTRODUCTION _ What is the problem studied, what is its relevance, and its objectives?</w:t>
      </w:r>
    </w:p>
    <w:p w:rsidR="00000000" w:rsidDel="00000000" w:rsidP="00000000" w:rsidRDefault="00000000" w:rsidRPr="00000000" w14:paraId="0000002D">
      <w:pPr>
        <w:numPr>
          <w:ilvl w:val="0"/>
          <w:numId w:val="1"/>
        </w:numPr>
        <w:spacing w:after="0" w:afterAutospacing="0" w:lineRule="auto"/>
        <w:ind w:left="940" w:hanging="360"/>
        <w:jc w:val="both"/>
        <w:rPr/>
      </w:pPr>
      <w:r w:rsidDel="00000000" w:rsidR="00000000" w:rsidRPr="00000000">
        <w:rPr>
          <w:sz w:val="19"/>
          <w:szCs w:val="19"/>
          <w:rtl w:val="0"/>
        </w:rPr>
        <w:t xml:space="preserve">METHODOLOGY _ How was the study conducted, what steps, materials, and techniques were used?</w:t>
      </w:r>
    </w:p>
    <w:p w:rsidR="00000000" w:rsidDel="00000000" w:rsidP="00000000" w:rsidRDefault="00000000" w:rsidRPr="00000000" w14:paraId="0000002E">
      <w:pPr>
        <w:numPr>
          <w:ilvl w:val="0"/>
          <w:numId w:val="1"/>
        </w:numPr>
        <w:spacing w:after="0" w:afterAutospacing="0" w:lineRule="auto"/>
        <w:ind w:left="940" w:hanging="360"/>
        <w:jc w:val="both"/>
        <w:rPr/>
      </w:pPr>
      <w:r w:rsidDel="00000000" w:rsidR="00000000" w:rsidRPr="00000000">
        <w:rPr>
          <w:sz w:val="19"/>
          <w:szCs w:val="19"/>
          <w:rtl w:val="0"/>
        </w:rPr>
        <w:t xml:space="preserve">RESULTS _ What results are found or expected?</w:t>
      </w:r>
    </w:p>
    <w:p w:rsidR="00000000" w:rsidDel="00000000" w:rsidP="00000000" w:rsidRDefault="00000000" w:rsidRPr="00000000" w14:paraId="0000002F">
      <w:pPr>
        <w:numPr>
          <w:ilvl w:val="0"/>
          <w:numId w:val="1"/>
        </w:numPr>
        <w:spacing w:after="0" w:afterAutospacing="0" w:lineRule="auto"/>
        <w:ind w:left="940" w:hanging="360"/>
        <w:jc w:val="both"/>
        <w:rPr/>
      </w:pPr>
      <w:r w:rsidDel="00000000" w:rsidR="00000000" w:rsidRPr="00000000">
        <w:rPr>
          <w:sz w:val="19"/>
          <w:szCs w:val="19"/>
          <w:rtl w:val="0"/>
        </w:rPr>
        <w:t xml:space="preserve">DISCUSSION _ What is the contribution and impact to the knowledge area?</w:t>
      </w:r>
    </w:p>
    <w:p w:rsidR="00000000" w:rsidDel="00000000" w:rsidP="00000000" w:rsidRDefault="00000000" w:rsidRPr="00000000" w14:paraId="00000030">
      <w:pPr>
        <w:numPr>
          <w:ilvl w:val="0"/>
          <w:numId w:val="1"/>
        </w:numPr>
        <w:spacing w:after="280" w:lineRule="auto"/>
        <w:ind w:left="940" w:hanging="360"/>
        <w:jc w:val="both"/>
        <w:rPr/>
      </w:pPr>
      <w:r w:rsidDel="00000000" w:rsidR="00000000" w:rsidRPr="00000000">
        <w:rPr>
          <w:sz w:val="19"/>
          <w:szCs w:val="19"/>
          <w:rtl w:val="0"/>
        </w:rPr>
        <w:t xml:space="preserve">REFERENCES _ Which sources have been or will be consulted?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You may add a single image that does not exceed A4 size at 150 dpi.</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The evaluation of articles for oral presentation and publication in the Annals will be done in two stages: abstract (first) and the complete work (second). Both will be evaluated by blind peer review mode.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Since this is a blind evaluation, the text of the abstract should not mention the names of the authors nor the institution they belong to or any indication that allows authorship to be recognized.</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The identification of all authors of the article (maximum 4) should be done only in the metadata filling, and already in the abstracts submission phase.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There is no limit to the submission of abstracts by the main author or co-author.</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80" w:lineRule="auto"/>
        <w:jc w:val="both"/>
        <w:rPr>
          <w:sz w:val="19"/>
          <w:szCs w:val="19"/>
        </w:rPr>
      </w:pPr>
      <w:r w:rsidDel="00000000" w:rsidR="00000000" w:rsidRPr="00000000">
        <w:rPr>
          <w:sz w:val="19"/>
          <w:szCs w:val="19"/>
          <w:rtl w:val="0"/>
        </w:rPr>
        <w:t xml:space="preserve">Each registration in the congress will allow the presentation and publication of up to 2 articles.</w:t>
      </w:r>
    </w:p>
    <w:p w:rsidR="00000000" w:rsidDel="00000000" w:rsidP="00000000" w:rsidRDefault="00000000" w:rsidRPr="00000000" w14:paraId="00000037">
      <w:pPr>
        <w:jc w:val="both"/>
        <w:rPr>
          <w:color w:val="333333"/>
          <w:sz w:val="20"/>
          <w:szCs w:val="20"/>
          <w:highlight w:val="white"/>
        </w:rPr>
      </w:pPr>
      <w:r w:rsidDel="00000000" w:rsidR="00000000" w:rsidRPr="00000000">
        <w:br w:type="page"/>
      </w:r>
      <w:r w:rsidDel="00000000" w:rsidR="00000000" w:rsidRPr="00000000">
        <w:rPr>
          <w:rtl w:val="0"/>
        </w:rPr>
      </w:r>
    </w:p>
    <w:sectPr>
      <w:pgSz w:h="16838" w:w="11906"/>
      <w:pgMar w:bottom="1440" w:top="1440" w:left="1152" w:right="1152"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a Isabel Sa" w:id="1" w:date="2018-03-25T13:51:26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Tirei econômico, porque não é mais barato manter um automóvel do que usar transporte público, ok?</w:t>
      </w:r>
    </w:p>
  </w:comment>
  <w:comment w:author="Ana Isabel Sa" w:id="0" w:date="2018-03-25T14:10:41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Reduzido! Palavras-chave não entram na contagem, né?</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