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Fonts w:ascii="Arial Unicode MS" w:cs="Arial Unicode MS" w:eastAsia="Arial Unicode MS" w:hAnsi="Arial Unicode MS"/>
          <w:rtl w:val="0"/>
        </w:rPr>
        <w:t xml:space="preserve">→ Produzido pelo BNDES + MNCTIC (Ministério Nacional de Ciência, Tecnologia, Inovação e Comunicações) </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Fonts w:ascii="Arial Unicode MS" w:cs="Arial Unicode MS" w:eastAsia="Arial Unicode MS" w:hAnsi="Arial Unicode MS"/>
          <w:rtl w:val="0"/>
        </w:rPr>
        <w:t xml:space="preserve">→ 4 seções: Diagnóstico Geral e Aspiração para o Brasil / Seleção de verticais e horizontais </w:t>
      </w:r>
      <w:r w:rsidDel="00000000" w:rsidR="00000000" w:rsidRPr="00000000">
        <w:rPr>
          <w:highlight w:val="yellow"/>
          <w:rtl w:val="0"/>
        </w:rPr>
        <w:t xml:space="preserve">(???) </w:t>
      </w:r>
      <w:r w:rsidDel="00000000" w:rsidR="00000000" w:rsidRPr="00000000">
        <w:rPr>
          <w:rtl w:val="0"/>
        </w:rPr>
        <w:t xml:space="preserve">/ Aprofundamento e elaboração do plano de ação (2018-2022) / Suporte à implementação (</w:t>
      </w:r>
      <w:r w:rsidDel="00000000" w:rsidR="00000000" w:rsidRPr="00000000">
        <w:rPr>
          <w:highlight w:val="yellow"/>
          <w:rtl w:val="0"/>
        </w:rPr>
        <w:t xml:space="preserve">o estudo completo abrange essas 4 seções. O documento que temos é uma parte desse estudo e foca nos temas regulatórios horizontais e na análise de ambientes priorizados (cidades inteligentes, saúde e rural</w:t>
      </w:r>
      <w:r w:rsidDel="00000000" w:rsidR="00000000" w:rsidRPr="00000000">
        <w:rPr>
          <w:rtl w:val="0"/>
        </w:rPr>
        <w:t xml:space="preserve">).</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Fonts w:ascii="Arial Unicode MS" w:cs="Arial Unicode MS" w:eastAsia="Arial Unicode MS" w:hAnsi="Arial Unicode MS"/>
          <w:rtl w:val="0"/>
        </w:rPr>
        <w:t xml:space="preserve">→ Temas regulatórios horizontais: “regulação de telecomunicações, privacidade e proteção de dados </w:t>
      </w:r>
      <w:r w:rsidDel="00000000" w:rsidR="00000000" w:rsidRPr="00000000">
        <w:rPr>
          <w:rtl w:val="0"/>
        </w:rPr>
        <w:t xml:space="preserve">pessoais e segurança da informação”. (p.4)</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drawing>
          <wp:inline distB="114300" distT="114300" distL="114300" distR="114300">
            <wp:extent cx="4367213" cy="261052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367213" cy="2610529"/>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rPr/>
      </w:pPr>
      <w:r w:rsidDel="00000000" w:rsidR="00000000" w:rsidRPr="00000000">
        <w:rPr>
          <w:rFonts w:ascii="Arial Unicode MS" w:cs="Arial Unicode MS" w:eastAsia="Arial Unicode MS" w:hAnsi="Arial Unicode MS"/>
          <w:rtl w:val="0"/>
        </w:rPr>
        <w:t xml:space="preserve">→ Ausência de definição jurídica do conceito de IoT na lesgislação brasileira: “</w:t>
      </w:r>
      <w:r w:rsidDel="00000000" w:rsidR="00000000" w:rsidRPr="00000000">
        <w:rPr>
          <w:rtl w:val="0"/>
        </w:rPr>
        <w:t xml:space="preserve">Como foi reportado no Relatório da Fase I – Horizontal Regulatório, é relevante notar que não há um conceito preciso </w:t>
      </w:r>
      <w:r w:rsidDel="00000000" w:rsidR="00000000" w:rsidRPr="00000000">
        <w:rPr>
          <w:rtl w:val="0"/>
        </w:rPr>
        <w:t xml:space="preserve">de IoT no ordenamento jurídico brasileiro”. (p. 6)</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Fonts w:ascii="Arial Unicode MS" w:cs="Arial Unicode MS" w:eastAsia="Arial Unicode MS" w:hAnsi="Arial Unicode MS"/>
          <w:rtl w:val="0"/>
        </w:rPr>
        <w:t xml:space="preserve">→ </w:t>
      </w:r>
      <w:r w:rsidDel="00000000" w:rsidR="00000000" w:rsidRPr="00000000">
        <w:rPr>
          <w:highlight w:val="yellow"/>
          <w:rtl w:val="0"/>
        </w:rPr>
        <w:t xml:space="preserve">DESCOBRIR O QUE FOI A “Consulta Pública de Internet das Coisas” </w:t>
      </w:r>
      <w:r w:rsidDel="00000000" w:rsidR="00000000" w:rsidRPr="00000000">
        <w:rPr>
          <w:rtl w:val="0"/>
        </w:rPr>
        <w:t xml:space="preserve">e quando/como foi feita (p.6)</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highlight w:val="cyan"/>
        </w:rPr>
      </w:pPr>
      <w:r w:rsidDel="00000000" w:rsidR="00000000" w:rsidRPr="00000000">
        <w:rPr>
          <w:rFonts w:ascii="Arial Unicode MS" w:cs="Arial Unicode MS" w:eastAsia="Arial Unicode MS" w:hAnsi="Arial Unicode MS"/>
          <w:rtl w:val="0"/>
        </w:rPr>
        <w:t xml:space="preserve">→ </w:t>
      </w:r>
      <w:r w:rsidDel="00000000" w:rsidR="00000000" w:rsidRPr="00000000">
        <w:rPr>
          <w:highlight w:val="cyan"/>
          <w:rtl w:val="0"/>
        </w:rPr>
        <w:t xml:space="preserve">Talvez seja interessante nos reunirmos com o grupo da escola de Direito que estuda questões legais ligadas ao universo digital para entendermos melhor o que está sendo proposto</w:t>
      </w:r>
    </w:p>
    <w:p w:rsidR="00000000" w:rsidDel="00000000" w:rsidP="00000000" w:rsidRDefault="00000000" w:rsidRPr="00000000" w14:paraId="0000000F">
      <w:pPr>
        <w:rPr>
          <w:highlight w:val="cyan"/>
        </w:rPr>
      </w:pPr>
      <w:r w:rsidDel="00000000" w:rsidR="00000000" w:rsidRPr="00000000">
        <w:rPr>
          <w:rtl w:val="0"/>
        </w:rPr>
      </w:r>
    </w:p>
    <w:p w:rsidR="00000000" w:rsidDel="00000000" w:rsidP="00000000" w:rsidRDefault="00000000" w:rsidRPr="00000000" w14:paraId="00000010">
      <w:pPr>
        <w:jc w:val="both"/>
        <w:rPr>
          <w:highlight w:val="white"/>
        </w:rPr>
      </w:pPr>
      <w:r w:rsidDel="00000000" w:rsidR="00000000" w:rsidRPr="00000000">
        <w:rPr>
          <w:rFonts w:ascii="Arial Unicode MS" w:cs="Arial Unicode MS" w:eastAsia="Arial Unicode MS" w:hAnsi="Arial Unicode MS"/>
          <w:highlight w:val="white"/>
          <w:rtl w:val="0"/>
        </w:rPr>
        <w:t xml:space="preserve">→ Questões de infraestrutura: “</w:t>
      </w:r>
      <w:r w:rsidDel="00000000" w:rsidR="00000000" w:rsidRPr="00000000">
        <w:rPr>
          <w:rFonts w:ascii="Arial Unicode MS" w:cs="Arial Unicode MS" w:eastAsia="Arial Unicode MS" w:hAnsi="Arial Unicode MS"/>
          <w:highlight w:val="white"/>
          <w:rtl w:val="0"/>
        </w:rPr>
        <w:t xml:space="preserve">A premissa a ser adotada neste ponto é a seguinte: com a previsão de conexão de milhares dispositivos às redes de telecomunicações do país e o consequente crescimento exponencial do tráfego de dados é fundamental criar incentivos para permitir novos investimentos na ampliação e massificação do acesso a estas redes” (p.8). → </w:t>
      </w:r>
      <w:r w:rsidDel="00000000" w:rsidR="00000000" w:rsidRPr="00000000">
        <w:rPr>
          <w:highlight w:val="yellow"/>
          <w:rtl w:val="0"/>
        </w:rPr>
        <w:t xml:space="preserve">Quais incentivos? De que forma? Quem controla a infraestrutura?</w:t>
      </w:r>
      <w:r w:rsidDel="00000000" w:rsidR="00000000" w:rsidRPr="00000000">
        <w:rPr>
          <w:highlight w:val="white"/>
          <w:rtl w:val="0"/>
        </w:rPr>
        <w:t xml:space="preserve"> Etc.</w:t>
      </w:r>
    </w:p>
    <w:p w:rsidR="00000000" w:rsidDel="00000000" w:rsidP="00000000" w:rsidRDefault="00000000" w:rsidRPr="00000000" w14:paraId="00000011">
      <w:pPr>
        <w:jc w:val="both"/>
        <w:rPr>
          <w:highlight w:val="white"/>
        </w:rPr>
      </w:pPr>
      <w:r w:rsidDel="00000000" w:rsidR="00000000" w:rsidRPr="00000000">
        <w:rPr>
          <w:rtl w:val="0"/>
        </w:rPr>
      </w:r>
    </w:p>
    <w:p w:rsidR="00000000" w:rsidDel="00000000" w:rsidP="00000000" w:rsidRDefault="00000000" w:rsidRPr="00000000" w14:paraId="00000012">
      <w:pPr>
        <w:jc w:val="both"/>
        <w:rPr>
          <w:highlight w:val="white"/>
        </w:rPr>
      </w:pPr>
      <w:r w:rsidDel="00000000" w:rsidR="00000000" w:rsidRPr="00000000">
        <w:rPr>
          <w:rFonts w:ascii="Arial Unicode MS" w:cs="Arial Unicode MS" w:eastAsia="Arial Unicode MS" w:hAnsi="Arial Unicode MS"/>
          <w:highlight w:val="white"/>
          <w:rtl w:val="0"/>
        </w:rPr>
        <w:t xml:space="preserve">→ pgs 8 e 9 sugerem mudanças no regime de contratação de serviços de telecomunicação que devem ser estudados mais a fundo</w:t>
      </w:r>
    </w:p>
    <w:p w:rsidR="00000000" w:rsidDel="00000000" w:rsidP="00000000" w:rsidRDefault="00000000" w:rsidRPr="00000000" w14:paraId="00000013">
      <w:pPr>
        <w:jc w:val="both"/>
        <w:rPr>
          <w:highlight w:val="white"/>
        </w:rPr>
      </w:pPr>
      <w:r w:rsidDel="00000000" w:rsidR="00000000" w:rsidRPr="00000000">
        <w:rPr>
          <w:rtl w:val="0"/>
        </w:rPr>
      </w:r>
    </w:p>
    <w:p w:rsidR="00000000" w:rsidDel="00000000" w:rsidP="00000000" w:rsidRDefault="00000000" w:rsidRPr="00000000" w14:paraId="00000014">
      <w:pPr>
        <w:jc w:val="both"/>
        <w:rPr>
          <w:highlight w:val="yellow"/>
        </w:rPr>
      </w:pPr>
      <w:r w:rsidDel="00000000" w:rsidR="00000000" w:rsidRPr="00000000">
        <w:rPr>
          <w:rFonts w:ascii="Arial Unicode MS" w:cs="Arial Unicode MS" w:eastAsia="Arial Unicode MS" w:hAnsi="Arial Unicode MS"/>
          <w:highlight w:val="yellow"/>
          <w:rtl w:val="0"/>
        </w:rPr>
        <w:t xml:space="preserve">→ Buscar informações sobre o Plano Nacional de Conectividade, colocado em consulta pública em 2017</w:t>
      </w:r>
    </w:p>
    <w:p w:rsidR="00000000" w:rsidDel="00000000" w:rsidP="00000000" w:rsidRDefault="00000000" w:rsidRPr="00000000" w14:paraId="00000015">
      <w:pPr>
        <w:jc w:val="both"/>
        <w:rPr>
          <w:highlight w:val="yellow"/>
        </w:rPr>
      </w:pPr>
      <w:r w:rsidDel="00000000" w:rsidR="00000000" w:rsidRPr="00000000">
        <w:rPr>
          <w:rtl w:val="0"/>
        </w:rPr>
      </w:r>
    </w:p>
    <w:p w:rsidR="00000000" w:rsidDel="00000000" w:rsidP="00000000" w:rsidRDefault="00000000" w:rsidRPr="00000000" w14:paraId="00000016">
      <w:pPr>
        <w:jc w:val="both"/>
        <w:rPr>
          <w:highlight w:val="white"/>
        </w:rPr>
      </w:pPr>
      <w:r w:rsidDel="00000000" w:rsidR="00000000" w:rsidRPr="00000000">
        <w:rPr>
          <w:rFonts w:ascii="Arial Unicode MS" w:cs="Arial Unicode MS" w:eastAsia="Arial Unicode MS" w:hAnsi="Arial Unicode MS"/>
          <w:highlight w:val="white"/>
          <w:rtl w:val="0"/>
        </w:rPr>
        <w:t xml:space="preserve">→ entender questões ligadas à numeração dos dispositivos e ao possível uso de e-SIMs (para possibilitar o roaming internacional permanente) (pg.15)</w:t>
      </w:r>
    </w:p>
    <w:p w:rsidR="00000000" w:rsidDel="00000000" w:rsidP="00000000" w:rsidRDefault="00000000" w:rsidRPr="00000000" w14:paraId="00000017">
      <w:pPr>
        <w:jc w:val="both"/>
        <w:rPr>
          <w:highlight w:val="white"/>
        </w:rPr>
      </w:pPr>
      <w:r w:rsidDel="00000000" w:rsidR="00000000" w:rsidRPr="00000000">
        <w:rPr>
          <w:rtl w:val="0"/>
        </w:rPr>
      </w:r>
    </w:p>
    <w:p w:rsidR="00000000" w:rsidDel="00000000" w:rsidP="00000000" w:rsidRDefault="00000000" w:rsidRPr="00000000" w14:paraId="00000018">
      <w:pPr>
        <w:jc w:val="both"/>
        <w:rPr>
          <w:highlight w:val="white"/>
        </w:rPr>
      </w:pPr>
      <w:r w:rsidDel="00000000" w:rsidR="00000000" w:rsidRPr="00000000">
        <w:rPr>
          <w:rFonts w:ascii="Arial Unicode MS" w:cs="Arial Unicode MS" w:eastAsia="Arial Unicode MS" w:hAnsi="Arial Unicode MS"/>
          <w:highlight w:val="white"/>
          <w:rtl w:val="0"/>
        </w:rPr>
        <w:t xml:space="preserve">→ Na pg 17 se iniciam as discussões sobre uso do espectro de radiofrequência</w:t>
      </w:r>
    </w:p>
    <w:p w:rsidR="00000000" w:rsidDel="00000000" w:rsidP="00000000" w:rsidRDefault="00000000" w:rsidRPr="00000000" w14:paraId="00000019">
      <w:pPr>
        <w:jc w:val="both"/>
        <w:rPr>
          <w:highlight w:val="white"/>
        </w:rPr>
      </w:pPr>
      <w:r w:rsidDel="00000000" w:rsidR="00000000" w:rsidRPr="00000000">
        <w:rPr>
          <w:rtl w:val="0"/>
        </w:rPr>
      </w:r>
    </w:p>
    <w:p w:rsidR="00000000" w:rsidDel="00000000" w:rsidP="00000000" w:rsidRDefault="00000000" w:rsidRPr="00000000" w14:paraId="0000001A">
      <w:pPr>
        <w:jc w:val="both"/>
        <w:rPr>
          <w:highlight w:val="white"/>
        </w:rPr>
      </w:pPr>
      <w:r w:rsidDel="00000000" w:rsidR="00000000" w:rsidRPr="00000000">
        <w:rPr>
          <w:highlight w:val="white"/>
          <w:rtl w:val="0"/>
        </w:rPr>
        <w:t xml:space="preserve">“Nesse caso, os comentários abrangem as formas de acesso à radiofrequência para servir de suporte às aplicações de IoT. O enfoque se dará sobre: (i) criação de mercado secundário de radiofrequência; (ii) regras de exploração industrial; e (iii) aumento do espectro não licenciado”. (p.17)</w:t>
      </w:r>
    </w:p>
    <w:p w:rsidR="00000000" w:rsidDel="00000000" w:rsidP="00000000" w:rsidRDefault="00000000" w:rsidRPr="00000000" w14:paraId="0000001B">
      <w:pPr>
        <w:jc w:val="both"/>
        <w:rPr>
          <w:highlight w:val="white"/>
        </w:rPr>
      </w:pPr>
      <w:r w:rsidDel="00000000" w:rsidR="00000000" w:rsidRPr="00000000">
        <w:rPr>
          <w:rtl w:val="0"/>
        </w:rPr>
      </w:r>
    </w:p>
    <w:p w:rsidR="00000000" w:rsidDel="00000000" w:rsidP="00000000" w:rsidRDefault="00000000" w:rsidRPr="00000000" w14:paraId="0000001C">
      <w:pPr>
        <w:jc w:val="both"/>
        <w:rPr>
          <w:highlight w:val="yellow"/>
        </w:rPr>
      </w:pPr>
      <w:r w:rsidDel="00000000" w:rsidR="00000000" w:rsidRPr="00000000">
        <w:rPr>
          <w:rFonts w:ascii="Arial Unicode MS" w:cs="Arial Unicode MS" w:eastAsia="Arial Unicode MS" w:hAnsi="Arial Unicode MS"/>
          <w:highlight w:val="yellow"/>
          <w:rtl w:val="0"/>
        </w:rPr>
        <w:t xml:space="preserve">→ Na pg 24 se inicia a discussão sobre privacidade e proteção de dados individuais </w:t>
      </w:r>
    </w:p>
    <w:p w:rsidR="00000000" w:rsidDel="00000000" w:rsidP="00000000" w:rsidRDefault="00000000" w:rsidRPr="00000000" w14:paraId="0000001D">
      <w:pPr>
        <w:jc w:val="both"/>
        <w:rPr>
          <w:highlight w:val="yellow"/>
        </w:rPr>
      </w:pPr>
      <w:r w:rsidDel="00000000" w:rsidR="00000000" w:rsidRPr="00000000">
        <w:rPr>
          <w:rtl w:val="0"/>
        </w:rPr>
      </w:r>
    </w:p>
    <w:p w:rsidR="00000000" w:rsidDel="00000000" w:rsidP="00000000" w:rsidRDefault="00000000" w:rsidRPr="00000000" w14:paraId="0000001E">
      <w:pPr>
        <w:jc w:val="both"/>
        <w:rPr>
          <w:highlight w:val="white"/>
        </w:rPr>
      </w:pPr>
      <w:r w:rsidDel="00000000" w:rsidR="00000000" w:rsidRPr="00000000">
        <w:rPr>
          <w:highlight w:val="white"/>
          <w:rtl w:val="0"/>
        </w:rPr>
        <w:t xml:space="preserve">“Com a proliferação de novos dispositivos conectados à Internet aptos a armazenar, coletar e tratar uma significativa quantidade de dados, tem sido recorrente a discussão sobre os usos legítimos dos dados e sobre as vulnerabilidades das bases de dados gerados. Em adição, a formulação de políticas públicas, a gestão eficiente e transparente dos órgãos governamentais e a criação de novos modelos de negócios são diretamente influenciados pelo crescimento exponencial de análises baseadas em grandes volumes de dados”. (p.24)</w:t>
      </w:r>
    </w:p>
    <w:p w:rsidR="00000000" w:rsidDel="00000000" w:rsidP="00000000" w:rsidRDefault="00000000" w:rsidRPr="00000000" w14:paraId="0000001F">
      <w:pPr>
        <w:jc w:val="both"/>
        <w:rPr>
          <w:highlight w:val="white"/>
        </w:rPr>
      </w:pPr>
      <w:r w:rsidDel="00000000" w:rsidR="00000000" w:rsidRPr="00000000">
        <w:rPr>
          <w:rtl w:val="0"/>
        </w:rPr>
      </w:r>
    </w:p>
    <w:p w:rsidR="00000000" w:rsidDel="00000000" w:rsidP="00000000" w:rsidRDefault="00000000" w:rsidRPr="00000000" w14:paraId="00000020">
      <w:pPr>
        <w:jc w:val="both"/>
        <w:rPr>
          <w:highlight w:val="white"/>
        </w:rPr>
      </w:pPr>
      <w:r w:rsidDel="00000000" w:rsidR="00000000" w:rsidRPr="00000000">
        <w:rPr>
          <w:highlight w:val="white"/>
          <w:rtl w:val="0"/>
        </w:rPr>
        <w:t xml:space="preserve">“O regime jurídico de proteção à privacidade apresenta significativas lacunas no Brasil, devido à ausência de legislação bem como de institucionalização a respeito do tema”. (p.25)</w:t>
      </w:r>
    </w:p>
    <w:p w:rsidR="00000000" w:rsidDel="00000000" w:rsidP="00000000" w:rsidRDefault="00000000" w:rsidRPr="00000000" w14:paraId="00000021">
      <w:pPr>
        <w:jc w:val="both"/>
        <w:rPr>
          <w:highlight w:val="white"/>
        </w:rPr>
      </w:pPr>
      <w:r w:rsidDel="00000000" w:rsidR="00000000" w:rsidRPr="00000000">
        <w:rPr>
          <w:rtl w:val="0"/>
        </w:rPr>
      </w:r>
    </w:p>
    <w:p w:rsidR="00000000" w:rsidDel="00000000" w:rsidP="00000000" w:rsidRDefault="00000000" w:rsidRPr="00000000" w14:paraId="00000022">
      <w:pPr>
        <w:jc w:val="both"/>
        <w:rPr>
          <w:highlight w:val="white"/>
        </w:rPr>
      </w:pPr>
      <w:r w:rsidDel="00000000" w:rsidR="00000000" w:rsidRPr="00000000">
        <w:rPr>
          <w:rFonts w:ascii="Arial Unicode MS" w:cs="Arial Unicode MS" w:eastAsia="Arial Unicode MS" w:hAnsi="Arial Unicode MS"/>
          <w:highlight w:val="white"/>
          <w:rtl w:val="0"/>
        </w:rPr>
        <w:t xml:space="preserve">→ Propõe-se a criação de uma “Autoridade de Proteção de Dados Pessoais”</w:t>
      </w:r>
    </w:p>
    <w:p w:rsidR="00000000" w:rsidDel="00000000" w:rsidP="00000000" w:rsidRDefault="00000000" w:rsidRPr="00000000" w14:paraId="00000023">
      <w:pPr>
        <w:jc w:val="both"/>
        <w:rPr>
          <w:highlight w:val="white"/>
        </w:rPr>
      </w:pPr>
      <w:r w:rsidDel="00000000" w:rsidR="00000000" w:rsidRPr="00000000">
        <w:rPr>
          <w:rtl w:val="0"/>
        </w:rPr>
      </w:r>
    </w:p>
    <w:p w:rsidR="00000000" w:rsidDel="00000000" w:rsidP="00000000" w:rsidRDefault="00000000" w:rsidRPr="00000000" w14:paraId="00000024">
      <w:pPr>
        <w:jc w:val="both"/>
        <w:rPr>
          <w:highlight w:val="white"/>
        </w:rPr>
      </w:pPr>
      <w:r w:rsidDel="00000000" w:rsidR="00000000" w:rsidRPr="00000000">
        <w:rPr>
          <w:highlight w:val="white"/>
          <w:rtl w:val="0"/>
        </w:rPr>
        <w:t xml:space="preserve">“Em uma sociedade cada vez mais orientada pela análise de dados, tal vácuo normativo é preocupante não apenas para cidadãos, mas também para o setor privado e para o próprio Estado. Isto porque, com a proliferação de novos dispositivos conectados à Internet capazes de coletar dados diversos, como é o caso de tecnologias de IoT, mais recorrentes e comprometedores serão os ataques a data bases e a ocorrência de uso</w:t>
      </w:r>
      <w:r w:rsidDel="00000000" w:rsidR="00000000" w:rsidRPr="00000000">
        <w:rPr>
          <w:sz w:val="26"/>
          <w:szCs w:val="26"/>
          <w:highlight w:val="white"/>
          <w:rtl w:val="0"/>
        </w:rPr>
        <w:t xml:space="preserve"> </w:t>
      </w:r>
      <w:r w:rsidDel="00000000" w:rsidR="00000000" w:rsidRPr="00000000">
        <w:rPr>
          <w:highlight w:val="white"/>
          <w:rtl w:val="0"/>
        </w:rPr>
        <w:t xml:space="preserve">indevido de dados pessoais”. (p. 26)</w:t>
      </w:r>
    </w:p>
    <w:p w:rsidR="00000000" w:rsidDel="00000000" w:rsidP="00000000" w:rsidRDefault="00000000" w:rsidRPr="00000000" w14:paraId="00000025">
      <w:pPr>
        <w:jc w:val="both"/>
        <w:rPr>
          <w:highlight w:val="white"/>
        </w:rPr>
      </w:pPr>
      <w:r w:rsidDel="00000000" w:rsidR="00000000" w:rsidRPr="00000000">
        <w:rPr>
          <w:rtl w:val="0"/>
        </w:rPr>
      </w:r>
    </w:p>
    <w:p w:rsidR="00000000" w:rsidDel="00000000" w:rsidP="00000000" w:rsidRDefault="00000000" w:rsidRPr="00000000" w14:paraId="00000026">
      <w:pPr>
        <w:jc w:val="both"/>
        <w:rPr>
          <w:highlight w:val="white"/>
        </w:rPr>
      </w:pPr>
      <w:r w:rsidDel="00000000" w:rsidR="00000000" w:rsidRPr="00000000">
        <w:rPr>
          <w:rtl w:val="0"/>
        </w:rPr>
      </w:r>
    </w:p>
    <w:p w:rsidR="00000000" w:rsidDel="00000000" w:rsidP="00000000" w:rsidRDefault="00000000" w:rsidRPr="00000000" w14:paraId="00000027">
      <w:pPr>
        <w:jc w:val="both"/>
        <w:rPr>
          <w:highlight w:val="white"/>
        </w:rPr>
      </w:pPr>
      <w:r w:rsidDel="00000000" w:rsidR="00000000" w:rsidRPr="00000000">
        <w:rPr>
          <w:rtl w:val="0"/>
        </w:rPr>
      </w:r>
    </w:p>
    <w:p w:rsidR="00000000" w:rsidDel="00000000" w:rsidP="00000000" w:rsidRDefault="00000000" w:rsidRPr="00000000" w14:paraId="00000028">
      <w:pPr>
        <w:jc w:val="both"/>
        <w:rPr>
          <w:highlight w:val="white"/>
        </w:rPr>
      </w:pPr>
      <w:r w:rsidDel="00000000" w:rsidR="00000000" w:rsidRPr="00000000">
        <w:rPr>
          <w:rtl w:val="0"/>
        </w:rPr>
      </w:r>
    </w:p>
    <w:p w:rsidR="00000000" w:rsidDel="00000000" w:rsidP="00000000" w:rsidRDefault="00000000" w:rsidRPr="00000000" w14:paraId="00000029">
      <w:pPr>
        <w:jc w:val="both"/>
        <w:rPr>
          <w:highlight w:val="white"/>
        </w:rPr>
      </w:pPr>
      <w:r w:rsidDel="00000000" w:rsidR="00000000" w:rsidRPr="00000000">
        <w:rPr>
          <w:rFonts w:ascii="Arial Unicode MS" w:cs="Arial Unicode MS" w:eastAsia="Arial Unicode MS" w:hAnsi="Arial Unicode MS"/>
          <w:highlight w:val="white"/>
          <w:rtl w:val="0"/>
        </w:rPr>
        <w:t xml:space="preserve">→ Na pg 43 se iniciam os debates acerca da “segurança da informação” </w:t>
      </w:r>
    </w:p>
    <w:p w:rsidR="00000000" w:rsidDel="00000000" w:rsidP="00000000" w:rsidRDefault="00000000" w:rsidRPr="00000000" w14:paraId="0000002A">
      <w:pPr>
        <w:jc w:val="both"/>
        <w:rPr>
          <w:highlight w:val="white"/>
        </w:rPr>
      </w:pPr>
      <w:r w:rsidDel="00000000" w:rsidR="00000000" w:rsidRPr="00000000">
        <w:rPr>
          <w:rtl w:val="0"/>
        </w:rPr>
      </w:r>
    </w:p>
    <w:p w:rsidR="00000000" w:rsidDel="00000000" w:rsidP="00000000" w:rsidRDefault="00000000" w:rsidRPr="00000000" w14:paraId="0000002B">
      <w:pPr>
        <w:jc w:val="both"/>
        <w:rPr>
          <w:highlight w:val="white"/>
        </w:rPr>
      </w:pPr>
      <w:r w:rsidDel="00000000" w:rsidR="00000000" w:rsidRPr="00000000">
        <w:rPr>
          <w:rFonts w:ascii="Arial Unicode MS" w:cs="Arial Unicode MS" w:eastAsia="Arial Unicode MS" w:hAnsi="Arial Unicode MS"/>
          <w:highlight w:val="white"/>
          <w:rtl w:val="0"/>
        </w:rPr>
        <w:t xml:space="preserve">→ Na pg 66 começa a seção sobre Cidades Inteligentes</w:t>
      </w:r>
    </w:p>
    <w:p w:rsidR="00000000" w:rsidDel="00000000" w:rsidP="00000000" w:rsidRDefault="00000000" w:rsidRPr="00000000" w14:paraId="0000002C">
      <w:pPr>
        <w:jc w:val="both"/>
        <w:rPr>
          <w:highlight w:val="white"/>
        </w:rPr>
      </w:pPr>
      <w:r w:rsidDel="00000000" w:rsidR="00000000" w:rsidRPr="00000000">
        <w:rPr>
          <w:rtl w:val="0"/>
        </w:rPr>
      </w:r>
    </w:p>
    <w:p w:rsidR="00000000" w:rsidDel="00000000" w:rsidP="00000000" w:rsidRDefault="00000000" w:rsidRPr="00000000" w14:paraId="0000002D">
      <w:pPr>
        <w:jc w:val="both"/>
        <w:rPr>
          <w:highlight w:val="white"/>
        </w:rPr>
      </w:pPr>
      <w:r w:rsidDel="00000000" w:rsidR="00000000" w:rsidRPr="00000000">
        <w:rPr>
          <w:highlight w:val="white"/>
          <w:rtl w:val="0"/>
        </w:rPr>
        <w:t xml:space="preserve">“Conforme se verá adiante, essa característica das cidades inteligentes levanta particular preocupação, visto que a prestação de serviços públicos importa cada vez mais na coleta, armazenamento e compartilhamento de dados pessoais. Como vastamente demonstrado nos produtos desse Estudo, a coleta e utilização de dados coletados por meio de tecnologia IoT promovem incontáveis benefícios para a prestação dos serviços pelas municipalidades. Esses dados podem ser coletados no âmbito de políticas locais, mas também são de grande valia os dados coletados e disponibilizados por órgãos federais”. (p. 68-69)</w:t>
      </w:r>
    </w:p>
    <w:p w:rsidR="00000000" w:rsidDel="00000000" w:rsidP="00000000" w:rsidRDefault="00000000" w:rsidRPr="00000000" w14:paraId="0000002E">
      <w:pPr>
        <w:jc w:val="both"/>
        <w:rPr>
          <w:highlight w:val="white"/>
        </w:rPr>
      </w:pPr>
      <w:r w:rsidDel="00000000" w:rsidR="00000000" w:rsidRPr="00000000">
        <w:rPr>
          <w:rtl w:val="0"/>
        </w:rPr>
      </w:r>
    </w:p>
    <w:p w:rsidR="00000000" w:rsidDel="00000000" w:rsidP="00000000" w:rsidRDefault="00000000" w:rsidRPr="00000000" w14:paraId="0000002F">
      <w:pPr>
        <w:jc w:val="both"/>
        <w:rPr>
          <w:highlight w:val="white"/>
        </w:rPr>
      </w:pPr>
      <w:r w:rsidDel="00000000" w:rsidR="00000000" w:rsidRPr="00000000">
        <w:rPr>
          <w:highlight w:val="white"/>
          <w:rtl w:val="0"/>
        </w:rPr>
        <w:t xml:space="preserve">-------------------------------------------------------------------------------------------------------------------------------</w:t>
      </w:r>
    </w:p>
    <w:p w:rsidR="00000000" w:rsidDel="00000000" w:rsidP="00000000" w:rsidRDefault="00000000" w:rsidRPr="00000000" w14:paraId="00000030">
      <w:pPr>
        <w:jc w:val="both"/>
        <w:rPr>
          <w:highlight w:val="white"/>
        </w:rPr>
      </w:pPr>
      <w:r w:rsidDel="00000000" w:rsidR="00000000" w:rsidRPr="00000000">
        <w:rPr>
          <w:rtl w:val="0"/>
        </w:rPr>
      </w:r>
    </w:p>
    <w:p w:rsidR="00000000" w:rsidDel="00000000" w:rsidP="00000000" w:rsidRDefault="00000000" w:rsidRPr="00000000" w14:paraId="00000031">
      <w:pPr>
        <w:jc w:val="both"/>
        <w:rPr>
          <w:highlight w:val="white"/>
        </w:rPr>
      </w:pPr>
      <w:r w:rsidDel="00000000" w:rsidR="00000000" w:rsidRPr="00000000">
        <w:rPr>
          <w:highlight w:val="white"/>
          <w:rtl w:val="0"/>
        </w:rPr>
        <w:t xml:space="preserve">TÓPICO SOBRE SMART CITIES</w:t>
      </w:r>
    </w:p>
    <w:p w:rsidR="00000000" w:rsidDel="00000000" w:rsidP="00000000" w:rsidRDefault="00000000" w:rsidRPr="00000000" w14:paraId="00000032">
      <w:pPr>
        <w:jc w:val="both"/>
        <w:rPr>
          <w:highlight w:val="white"/>
        </w:rPr>
      </w:pPr>
      <w:r w:rsidDel="00000000" w:rsidR="00000000" w:rsidRPr="00000000">
        <w:rPr>
          <w:rtl w:val="0"/>
        </w:rPr>
      </w:r>
    </w:p>
    <w:p w:rsidR="00000000" w:rsidDel="00000000" w:rsidP="00000000" w:rsidRDefault="00000000" w:rsidRPr="00000000" w14:paraId="00000033">
      <w:pPr>
        <w:jc w:val="both"/>
        <w:rPr>
          <w:highlight w:val="yellow"/>
        </w:rPr>
      </w:pPr>
      <w:r w:rsidDel="00000000" w:rsidR="00000000" w:rsidRPr="00000000">
        <w:rPr>
          <w:rFonts w:ascii="Arial Unicode MS" w:cs="Arial Unicode MS" w:eastAsia="Arial Unicode MS" w:hAnsi="Arial Unicode MS"/>
          <w:highlight w:val="white"/>
          <w:rtl w:val="0"/>
        </w:rPr>
        <w:t xml:space="preserve">→ </w:t>
      </w:r>
      <w:r w:rsidDel="00000000" w:rsidR="00000000" w:rsidRPr="00000000">
        <w:rPr>
          <w:highlight w:val="yellow"/>
          <w:rtl w:val="0"/>
        </w:rPr>
        <w:t xml:space="preserve">Buscar depois o relatório Mapping smart cities in the EU, publicado pelo Parlamento Europeu em 2014. Disponível em: http://www.europarl.europa.eu/RegData/etudes/etudes/join/2014/507480/IPOL-ITRE_ET(2014)507480_EN.pdf. Acesso em: 09.10.2017.</w:t>
      </w:r>
    </w:p>
    <w:p w:rsidR="00000000" w:rsidDel="00000000" w:rsidP="00000000" w:rsidRDefault="00000000" w:rsidRPr="00000000" w14:paraId="00000034">
      <w:pPr>
        <w:jc w:val="both"/>
        <w:rPr>
          <w:highlight w:val="yellow"/>
        </w:rPr>
      </w:pPr>
      <w:r w:rsidDel="00000000" w:rsidR="00000000" w:rsidRPr="00000000">
        <w:rPr>
          <w:rtl w:val="0"/>
        </w:rPr>
      </w:r>
    </w:p>
    <w:p w:rsidR="00000000" w:rsidDel="00000000" w:rsidP="00000000" w:rsidRDefault="00000000" w:rsidRPr="00000000" w14:paraId="00000035">
      <w:pPr>
        <w:jc w:val="both"/>
        <w:rPr>
          <w:highlight w:val="white"/>
        </w:rPr>
      </w:pPr>
      <w:r w:rsidDel="00000000" w:rsidR="00000000" w:rsidRPr="00000000">
        <w:rPr>
          <w:rFonts w:ascii="Arial Unicode MS" w:cs="Arial Unicode MS" w:eastAsia="Arial Unicode MS" w:hAnsi="Arial Unicode MS"/>
          <w:highlight w:val="white"/>
          <w:rtl w:val="0"/>
        </w:rPr>
        <w:t xml:space="preserve">→ Principais aspectos abordados (p. 67/68):</w:t>
      </w:r>
    </w:p>
    <w:p w:rsidR="00000000" w:rsidDel="00000000" w:rsidP="00000000" w:rsidRDefault="00000000" w:rsidRPr="00000000" w14:paraId="00000036">
      <w:pPr>
        <w:numPr>
          <w:ilvl w:val="0"/>
          <w:numId w:val="1"/>
        </w:numPr>
        <w:ind w:left="720" w:hanging="360"/>
        <w:jc w:val="both"/>
        <w:rPr>
          <w:highlight w:val="white"/>
          <w:u w:val="none"/>
        </w:rPr>
      </w:pPr>
      <w:r w:rsidDel="00000000" w:rsidR="00000000" w:rsidRPr="00000000">
        <w:rPr>
          <w:highlight w:val="white"/>
          <w:rtl w:val="0"/>
        </w:rPr>
        <w:t xml:space="preserve">Propostas voltadas à governança, à transparência de dados públicos e à participação social</w:t>
      </w:r>
    </w:p>
    <w:p w:rsidR="00000000" w:rsidDel="00000000" w:rsidP="00000000" w:rsidRDefault="00000000" w:rsidRPr="00000000" w14:paraId="00000037">
      <w:pPr>
        <w:numPr>
          <w:ilvl w:val="0"/>
          <w:numId w:val="1"/>
        </w:numPr>
        <w:ind w:left="720" w:hanging="360"/>
        <w:jc w:val="both"/>
        <w:rPr>
          <w:highlight w:val="white"/>
          <w:u w:val="none"/>
        </w:rPr>
      </w:pPr>
      <w:r w:rsidDel="00000000" w:rsidR="00000000" w:rsidRPr="00000000">
        <w:rPr>
          <w:rFonts w:ascii="Arial Unicode MS" w:cs="Arial Unicode MS" w:eastAsia="Arial Unicode MS" w:hAnsi="Arial Unicode MS"/>
          <w:highlight w:val="white"/>
          <w:rtl w:val="0"/>
        </w:rPr>
        <w:t xml:space="preserve">Sustentabilidade → automatização da coleta de lixo e energia limpa</w:t>
      </w:r>
    </w:p>
    <w:p w:rsidR="00000000" w:rsidDel="00000000" w:rsidP="00000000" w:rsidRDefault="00000000" w:rsidRPr="00000000" w14:paraId="00000038">
      <w:pPr>
        <w:numPr>
          <w:ilvl w:val="0"/>
          <w:numId w:val="1"/>
        </w:numPr>
        <w:ind w:left="720" w:hanging="360"/>
        <w:jc w:val="both"/>
        <w:rPr>
          <w:highlight w:val="white"/>
          <w:u w:val="none"/>
        </w:rPr>
      </w:pPr>
      <w:r w:rsidDel="00000000" w:rsidR="00000000" w:rsidRPr="00000000">
        <w:rPr>
          <w:highlight w:val="white"/>
          <w:rtl w:val="0"/>
        </w:rPr>
        <w:t xml:space="preserve">Smart grid de energia elétrica</w:t>
      </w:r>
    </w:p>
    <w:p w:rsidR="00000000" w:rsidDel="00000000" w:rsidP="00000000" w:rsidRDefault="00000000" w:rsidRPr="00000000" w14:paraId="00000039">
      <w:pPr>
        <w:numPr>
          <w:ilvl w:val="0"/>
          <w:numId w:val="1"/>
        </w:numPr>
        <w:ind w:left="720" w:hanging="360"/>
        <w:jc w:val="both"/>
        <w:rPr>
          <w:highlight w:val="white"/>
          <w:u w:val="none"/>
        </w:rPr>
      </w:pPr>
      <w:r w:rsidDel="00000000" w:rsidR="00000000" w:rsidRPr="00000000">
        <w:rPr>
          <w:highlight w:val="white"/>
          <w:rtl w:val="0"/>
        </w:rPr>
        <w:t xml:space="preserve">Automação do fornecimento de água e de saneamento básico</w:t>
      </w:r>
    </w:p>
    <w:p w:rsidR="00000000" w:rsidDel="00000000" w:rsidP="00000000" w:rsidRDefault="00000000" w:rsidRPr="00000000" w14:paraId="0000003A">
      <w:pPr>
        <w:numPr>
          <w:ilvl w:val="0"/>
          <w:numId w:val="1"/>
        </w:numPr>
        <w:ind w:left="720" w:hanging="360"/>
        <w:jc w:val="both"/>
        <w:rPr>
          <w:highlight w:val="white"/>
          <w:u w:val="none"/>
        </w:rPr>
      </w:pPr>
      <w:r w:rsidDel="00000000" w:rsidR="00000000" w:rsidRPr="00000000">
        <w:rPr>
          <w:highlight w:val="white"/>
          <w:rtl w:val="0"/>
        </w:rPr>
        <w:t xml:space="preserve">Trânsito e transporte público</w:t>
      </w:r>
    </w:p>
    <w:p w:rsidR="00000000" w:rsidDel="00000000" w:rsidP="00000000" w:rsidRDefault="00000000" w:rsidRPr="00000000" w14:paraId="0000003B">
      <w:pPr>
        <w:jc w:val="both"/>
        <w:rPr>
          <w:highlight w:val="white"/>
        </w:rPr>
      </w:pPr>
      <w:r w:rsidDel="00000000" w:rsidR="00000000" w:rsidRPr="00000000">
        <w:rPr>
          <w:rtl w:val="0"/>
        </w:rPr>
      </w:r>
    </w:p>
    <w:p w:rsidR="00000000" w:rsidDel="00000000" w:rsidP="00000000" w:rsidRDefault="00000000" w:rsidRPr="00000000" w14:paraId="0000003C">
      <w:pPr>
        <w:jc w:val="both"/>
        <w:rPr>
          <w:highlight w:val="white"/>
        </w:rPr>
      </w:pPr>
      <w:r w:rsidDel="00000000" w:rsidR="00000000" w:rsidRPr="00000000">
        <w:rPr>
          <w:highlight w:val="white"/>
          <w:rtl w:val="0"/>
        </w:rPr>
        <w:t xml:space="preserve">“Assim, há legislação mais detalhada sobre o tema apenas em relação à Administração Pública Federal, mas que não se estende a particulares ou aos órgãos públicos de outros poderes ou esferas federativas. Tendo em vista essa lacuna de legislação e considerando que a execução de políticas públicas para cidades inteligentes é desenvolvida principalmente pelos Municípios, as regras para contratações da Administração Pública Federal poderão ser utilizadas pelas instâncias locais como modelo para as contratações de serviço de nuvem em aplicações de IoT.” (p.70)</w:t>
      </w:r>
    </w:p>
    <w:p w:rsidR="00000000" w:rsidDel="00000000" w:rsidP="00000000" w:rsidRDefault="00000000" w:rsidRPr="00000000" w14:paraId="0000003D">
      <w:pPr>
        <w:jc w:val="both"/>
        <w:rPr>
          <w:highlight w:val="white"/>
        </w:rPr>
      </w:pPr>
      <w:r w:rsidDel="00000000" w:rsidR="00000000" w:rsidRPr="00000000">
        <w:rPr>
          <w:rtl w:val="0"/>
        </w:rPr>
      </w:r>
    </w:p>
    <w:p w:rsidR="00000000" w:rsidDel="00000000" w:rsidP="00000000" w:rsidRDefault="00000000" w:rsidRPr="00000000" w14:paraId="0000003E">
      <w:pPr>
        <w:jc w:val="both"/>
        <w:rPr>
          <w:highlight w:val="white"/>
        </w:rPr>
      </w:pPr>
      <w:r w:rsidDel="00000000" w:rsidR="00000000" w:rsidRPr="00000000">
        <w:rPr>
          <w:highlight w:val="white"/>
          <w:rtl w:val="0"/>
        </w:rPr>
        <w:t xml:space="preserve">-&gt; DRONES</w:t>
      </w:r>
    </w:p>
    <w:p w:rsidR="00000000" w:rsidDel="00000000" w:rsidP="00000000" w:rsidRDefault="00000000" w:rsidRPr="00000000" w14:paraId="0000003F">
      <w:pPr>
        <w:jc w:val="both"/>
        <w:rPr>
          <w:highlight w:val="white"/>
        </w:rPr>
      </w:pPr>
      <w:r w:rsidDel="00000000" w:rsidR="00000000" w:rsidRPr="00000000">
        <w:rPr>
          <w:rtl w:val="0"/>
        </w:rPr>
      </w:r>
    </w:p>
    <w:p w:rsidR="00000000" w:rsidDel="00000000" w:rsidP="00000000" w:rsidRDefault="00000000" w:rsidRPr="00000000" w14:paraId="00000040">
      <w:pPr>
        <w:jc w:val="both"/>
        <w:rPr>
          <w:highlight w:val="white"/>
        </w:rPr>
      </w:pPr>
      <w:r w:rsidDel="00000000" w:rsidR="00000000" w:rsidRPr="00000000">
        <w:rPr>
          <w:rFonts w:ascii="Arial Unicode MS" w:cs="Arial Unicode MS" w:eastAsia="Arial Unicode MS" w:hAnsi="Arial Unicode MS"/>
          <w:highlight w:val="white"/>
          <w:rtl w:val="0"/>
        </w:rPr>
        <w:t xml:space="preserve">→ recorte do objeto no documento:</w:t>
      </w:r>
    </w:p>
    <w:p w:rsidR="00000000" w:rsidDel="00000000" w:rsidP="00000000" w:rsidRDefault="00000000" w:rsidRPr="00000000" w14:paraId="00000041">
      <w:pPr>
        <w:jc w:val="both"/>
        <w:rPr>
          <w:highlight w:val="white"/>
        </w:rPr>
      </w:pPr>
      <w:r w:rsidDel="00000000" w:rsidR="00000000" w:rsidRPr="00000000">
        <w:rPr>
          <w:rtl w:val="0"/>
        </w:rPr>
      </w:r>
    </w:p>
    <w:p w:rsidR="00000000" w:rsidDel="00000000" w:rsidP="00000000" w:rsidRDefault="00000000" w:rsidRPr="00000000" w14:paraId="00000042">
      <w:pPr>
        <w:jc w:val="both"/>
        <w:rPr>
          <w:highlight w:val="white"/>
        </w:rPr>
      </w:pPr>
      <w:r w:rsidDel="00000000" w:rsidR="00000000" w:rsidRPr="00000000">
        <w:rPr>
          <w:highlight w:val="white"/>
          <w:rtl w:val="0"/>
        </w:rPr>
        <w:t xml:space="preserve">● Iluminação pública inteligente: Utilização de sensores de monitoramento e de queima de lâmpadas para otimizar o uso e a substituição de ativos de iluminação pública; </w:t>
      </w:r>
    </w:p>
    <w:p w:rsidR="00000000" w:rsidDel="00000000" w:rsidP="00000000" w:rsidRDefault="00000000" w:rsidRPr="00000000" w14:paraId="00000043">
      <w:pPr>
        <w:jc w:val="both"/>
        <w:rPr>
          <w:highlight w:val="white"/>
        </w:rPr>
      </w:pPr>
      <w:r w:rsidDel="00000000" w:rsidR="00000000" w:rsidRPr="00000000">
        <w:rPr>
          <w:highlight w:val="white"/>
          <w:rtl w:val="0"/>
        </w:rPr>
        <w:t xml:space="preserve">● Medidores inteligentes de energia elétrica: Redução de custos operacionais de leitura de medidores e prevenção de roubos; </w:t>
      </w:r>
    </w:p>
    <w:p w:rsidR="00000000" w:rsidDel="00000000" w:rsidP="00000000" w:rsidRDefault="00000000" w:rsidRPr="00000000" w14:paraId="00000044">
      <w:pPr>
        <w:jc w:val="both"/>
        <w:rPr>
          <w:highlight w:val="white"/>
        </w:rPr>
      </w:pPr>
      <w:r w:rsidDel="00000000" w:rsidR="00000000" w:rsidRPr="00000000">
        <w:rPr>
          <w:highlight w:val="white"/>
          <w:rtl w:val="0"/>
        </w:rPr>
        <w:t xml:space="preserve">● Controles tráfego e transporte público: Uso de dados obtidos por meio de câmeras, celulares e sensores para monitorar o tráfego e otimizar a circulação de veículos, pedestres e bicicletas; e </w:t>
      </w:r>
    </w:p>
    <w:p w:rsidR="00000000" w:rsidDel="00000000" w:rsidP="00000000" w:rsidRDefault="00000000" w:rsidRPr="00000000" w14:paraId="00000045">
      <w:pPr>
        <w:jc w:val="both"/>
        <w:rPr>
          <w:highlight w:val="white"/>
        </w:rPr>
      </w:pPr>
      <w:r w:rsidDel="00000000" w:rsidR="00000000" w:rsidRPr="00000000">
        <w:rPr>
          <w:highlight w:val="white"/>
          <w:rtl w:val="0"/>
        </w:rPr>
        <w:t xml:space="preserve">● Monitoramento de crime por vídeo/sensores: Uso de circuito fechado de TV e sistema de monitoramento de áudio para viabilizar resposta e coordenação em tempo real, assim como analytics preditiva por meio de dados históricos.</w:t>
      </w:r>
    </w:p>
    <w:p w:rsidR="00000000" w:rsidDel="00000000" w:rsidP="00000000" w:rsidRDefault="00000000" w:rsidRPr="00000000" w14:paraId="00000046">
      <w:pPr>
        <w:numPr>
          <w:ilvl w:val="0"/>
          <w:numId w:val="2"/>
        </w:numPr>
        <w:ind w:left="720" w:hanging="360"/>
        <w:jc w:val="both"/>
        <w:rPr>
          <w:sz w:val="26"/>
          <w:szCs w:val="26"/>
          <w:highlight w:val="white"/>
          <w:u w:val="none"/>
        </w:rPr>
      </w:pPr>
      <w:r w:rsidDel="00000000" w:rsidR="00000000" w:rsidRPr="00000000">
        <w:rPr>
          <w:sz w:val="26"/>
          <w:szCs w:val="26"/>
          <w:highlight w:val="white"/>
          <w:rtl w:val="0"/>
        </w:rPr>
        <w:t xml:space="preserve">Formas de contratação de TIC</w:t>
      </w:r>
    </w:p>
    <w:p w:rsidR="00000000" w:rsidDel="00000000" w:rsidP="00000000" w:rsidRDefault="00000000" w:rsidRPr="00000000" w14:paraId="00000047">
      <w:pPr>
        <w:jc w:val="both"/>
        <w:rPr>
          <w:sz w:val="26"/>
          <w:szCs w:val="26"/>
          <w:highlight w:val="white"/>
        </w:rPr>
      </w:pPr>
      <w:r w:rsidDel="00000000" w:rsidR="00000000" w:rsidRPr="00000000">
        <w:rPr>
          <w:rtl w:val="0"/>
        </w:rPr>
      </w:r>
    </w:p>
    <w:p w:rsidR="00000000" w:rsidDel="00000000" w:rsidP="00000000" w:rsidRDefault="00000000" w:rsidRPr="00000000" w14:paraId="00000048">
      <w:pPr>
        <w:jc w:val="both"/>
        <w:rPr>
          <w:sz w:val="26"/>
          <w:szCs w:val="26"/>
          <w:highlight w:val="white"/>
        </w:rPr>
      </w:pPr>
      <w:r w:rsidDel="00000000" w:rsidR="00000000" w:rsidRPr="00000000">
        <w:rPr>
          <w:sz w:val="26"/>
          <w:szCs w:val="26"/>
          <w:highlight w:val="white"/>
          <w:rtl w:val="0"/>
        </w:rPr>
        <w:t xml:space="preserve">73: “Como primeiro passo da análise das obrigações legais em proteção de dados incidentes em soluções IoT em cidades inteligentes, é necessário identificar qual a expectativa de privacidade de cidadãos em ambientes públicos, como ruas, parques, praças e demais áreas abertas e em ambientes privados”</w:t>
      </w:r>
    </w:p>
    <w:p w:rsidR="00000000" w:rsidDel="00000000" w:rsidP="00000000" w:rsidRDefault="00000000" w:rsidRPr="00000000" w14:paraId="00000049">
      <w:pPr>
        <w:jc w:val="both"/>
        <w:rPr>
          <w:sz w:val="26"/>
          <w:szCs w:val="26"/>
          <w:highlight w:val="white"/>
        </w:rPr>
      </w:pPr>
      <w:r w:rsidDel="00000000" w:rsidR="00000000" w:rsidRPr="00000000">
        <w:rPr>
          <w:rtl w:val="0"/>
        </w:rPr>
      </w:r>
    </w:p>
    <w:p w:rsidR="00000000" w:rsidDel="00000000" w:rsidP="00000000" w:rsidRDefault="00000000" w:rsidRPr="00000000" w14:paraId="0000004A">
      <w:pPr>
        <w:jc w:val="both"/>
        <w:rPr>
          <w:sz w:val="26"/>
          <w:szCs w:val="26"/>
          <w:highlight w:val="white"/>
        </w:rPr>
      </w:pPr>
      <w:r w:rsidDel="00000000" w:rsidR="00000000" w:rsidRPr="00000000">
        <w:rPr>
          <w:rFonts w:ascii="Arial Unicode MS" w:cs="Arial Unicode MS" w:eastAsia="Arial Unicode MS" w:hAnsi="Arial Unicode MS"/>
          <w:sz w:val="26"/>
          <w:szCs w:val="26"/>
          <w:highlight w:val="white"/>
          <w:rtl w:val="0"/>
        </w:rPr>
        <w:t xml:space="preserve">→ Entendimento de que não há violação de privacidade quando os dados coletados não possibilitam identificar a identidade dos usuários, quando os dados são “anonimizados” e agregados → ex: sensores de movimentos de pedestre por meio de medição de calor</w:t>
      </w:r>
    </w:p>
    <w:p w:rsidR="00000000" w:rsidDel="00000000" w:rsidP="00000000" w:rsidRDefault="00000000" w:rsidRPr="00000000" w14:paraId="0000004B">
      <w:pPr>
        <w:jc w:val="both"/>
        <w:rPr>
          <w:sz w:val="26"/>
          <w:szCs w:val="26"/>
          <w:highlight w:val="white"/>
        </w:rPr>
      </w:pPr>
      <w:r w:rsidDel="00000000" w:rsidR="00000000" w:rsidRPr="00000000">
        <w:rPr>
          <w:rtl w:val="0"/>
        </w:rPr>
      </w:r>
    </w:p>
    <w:p w:rsidR="00000000" w:rsidDel="00000000" w:rsidP="00000000" w:rsidRDefault="00000000" w:rsidRPr="00000000" w14:paraId="0000004C">
      <w:pPr>
        <w:jc w:val="both"/>
        <w:rPr>
          <w:sz w:val="26"/>
          <w:szCs w:val="26"/>
          <w:highlight w:val="white"/>
        </w:rPr>
      </w:pPr>
      <w:r w:rsidDel="00000000" w:rsidR="00000000" w:rsidRPr="00000000">
        <w:rPr>
          <w:sz w:val="26"/>
          <w:szCs w:val="26"/>
          <w:highlight w:val="white"/>
          <w:rtl w:val="0"/>
        </w:rPr>
        <w:t xml:space="preserve">74: “Em outras situações, entretanto, soluções IoT em cidades inteligentes implicam a coleta de dados pessoais. Nesses casos, um rol distinto de normas e práticas aplica-se com relação ao setor público e ao setor privado.”</w:t>
      </w:r>
    </w:p>
    <w:p w:rsidR="00000000" w:rsidDel="00000000" w:rsidP="00000000" w:rsidRDefault="00000000" w:rsidRPr="00000000" w14:paraId="0000004D">
      <w:pPr>
        <w:jc w:val="both"/>
        <w:rPr>
          <w:sz w:val="26"/>
          <w:szCs w:val="26"/>
          <w:highlight w:val="white"/>
        </w:rPr>
      </w:pPr>
      <w:r w:rsidDel="00000000" w:rsidR="00000000" w:rsidRPr="00000000">
        <w:rPr>
          <w:rtl w:val="0"/>
        </w:rPr>
      </w:r>
    </w:p>
    <w:p w:rsidR="00000000" w:rsidDel="00000000" w:rsidP="00000000" w:rsidRDefault="00000000" w:rsidRPr="00000000" w14:paraId="0000004E">
      <w:pPr>
        <w:jc w:val="both"/>
        <w:rPr>
          <w:sz w:val="26"/>
          <w:szCs w:val="26"/>
          <w:highlight w:val="white"/>
        </w:rPr>
      </w:pPr>
      <w:r w:rsidDel="00000000" w:rsidR="00000000" w:rsidRPr="00000000">
        <w:rPr>
          <w:rFonts w:ascii="Arial Unicode MS" w:cs="Arial Unicode MS" w:eastAsia="Arial Unicode MS" w:hAnsi="Arial Unicode MS"/>
          <w:sz w:val="26"/>
          <w:szCs w:val="26"/>
          <w:highlight w:val="white"/>
          <w:rtl w:val="0"/>
        </w:rPr>
        <w:t xml:space="preserve">“Em cenário no qual é a iniciativa privada que implementa dispositivos de IoT, há a incidência integral das obrigações legais em vigor decorrentes do Marco Civil, Decreto nº 8.771/16 e outras normas setoriais. Como resultado, deve haver obtenção de consentimento válido para a coleta, tratamento, uso e transferência de dados pessoais, com a prestação de informações sobre a finalidade do tratamento, armazenamento e compartilhamento dos dados. A alternativa é que os dados sejam coletados de forma anonimizada e agregada, o que desconfiguraria sua natureza de dados pessoais. No entanto, nesses casos, é preciso haver segurança objetiva de que os dados não são passíveis de desanonimização, isto é, a possibilidade de que com o emprego de meios técnicos, ou ainda, o cruzamento daqueles dados com outros bancos de dados, eles possam então identificar indivíduos, voltando a se configurar como dados pessoais.” → Isso não ocorre por exemplo, com dados coletados para apps como uber, waze, googlemaps etc., certo? → Como criar legislações desse tipo quando parte dos serviços são transnacionais?</w:t>
      </w:r>
    </w:p>
    <w:p w:rsidR="00000000" w:rsidDel="00000000" w:rsidP="00000000" w:rsidRDefault="00000000" w:rsidRPr="00000000" w14:paraId="0000004F">
      <w:pPr>
        <w:jc w:val="both"/>
        <w:rPr>
          <w:sz w:val="26"/>
          <w:szCs w:val="26"/>
          <w:highlight w:val="white"/>
        </w:rPr>
      </w:pPr>
      <w:r w:rsidDel="00000000" w:rsidR="00000000" w:rsidRPr="00000000">
        <w:rPr>
          <w:rtl w:val="0"/>
        </w:rPr>
      </w:r>
    </w:p>
    <w:p w:rsidR="00000000" w:rsidDel="00000000" w:rsidP="00000000" w:rsidRDefault="00000000" w:rsidRPr="00000000" w14:paraId="00000050">
      <w:pPr>
        <w:jc w:val="both"/>
        <w:rPr>
          <w:sz w:val="26"/>
          <w:szCs w:val="26"/>
          <w:highlight w:val="white"/>
        </w:rPr>
      </w:pPr>
      <w:r w:rsidDel="00000000" w:rsidR="00000000" w:rsidRPr="00000000">
        <w:rPr>
          <w:rFonts w:ascii="Arial Unicode MS" w:cs="Arial Unicode MS" w:eastAsia="Arial Unicode MS" w:hAnsi="Arial Unicode MS"/>
          <w:sz w:val="26"/>
          <w:szCs w:val="26"/>
          <w:highlight w:val="white"/>
          <w:rtl w:val="0"/>
        </w:rPr>
        <w:t xml:space="preserve">→ Questão do consentimento quando existe uma dependência de algum serviço público por meio do cidadão? (ou seja, a opção de não consentir não existe de fato, pois ela exclui a possibilidade do cidadão de usufruir de um serviço a que tem direito). → “Nesses casos, há uma responsabilidade adicional do Poder Público, uma vez que o dado pessoal precisará ser coletado de qualquer forma, independentemente da manifestação de vontade do usuário do serviço público. Como visto acima, o dado poderá ser coletado, mas o Poder Público deverá assegurar a segurança daquele dado, bem como deverá se ater à finalidade específica para a qual o dado foi obtido, ficando vedada a transferência dos dados para terceiros alheios à prestação do serviço.” (p. 75)</w:t>
      </w:r>
    </w:p>
    <w:p w:rsidR="00000000" w:rsidDel="00000000" w:rsidP="00000000" w:rsidRDefault="00000000" w:rsidRPr="00000000" w14:paraId="00000051">
      <w:pPr>
        <w:jc w:val="both"/>
        <w:rPr>
          <w:sz w:val="26"/>
          <w:szCs w:val="26"/>
          <w:highlight w:val="white"/>
        </w:rPr>
      </w:pPr>
      <w:r w:rsidDel="00000000" w:rsidR="00000000" w:rsidRPr="00000000">
        <w:rPr>
          <w:rtl w:val="0"/>
        </w:rPr>
      </w:r>
    </w:p>
    <w:p w:rsidR="00000000" w:rsidDel="00000000" w:rsidP="00000000" w:rsidRDefault="00000000" w:rsidRPr="00000000" w14:paraId="00000052">
      <w:pPr>
        <w:jc w:val="both"/>
        <w:rPr>
          <w:sz w:val="26"/>
          <w:szCs w:val="26"/>
          <w:highlight w:val="white"/>
        </w:rPr>
      </w:pPr>
      <w:r w:rsidDel="00000000" w:rsidR="00000000" w:rsidRPr="00000000">
        <w:rPr>
          <w:rFonts w:ascii="Arial Unicode MS" w:cs="Arial Unicode MS" w:eastAsia="Arial Unicode MS" w:hAnsi="Arial Unicode MS"/>
          <w:sz w:val="26"/>
          <w:szCs w:val="26"/>
          <w:highlight w:val="white"/>
          <w:rtl w:val="0"/>
        </w:rPr>
        <w:t xml:space="preserve">→ “Uma questão concreta é o uso de soluções IoT para o monitoramento por câmeras de vigilância, nas quais a identificação do cidadão está alinhada com a finalidade de garantir a segurança pública, a exemplo dos centros de monitoramento implementados no Rio de Janeiro e São Paulo.188-189 Nesses casos, conforme expresso acima, justifica-se a coleta de dados sem a obtenção de consentimento prévio e expresso, com a condição de que a coleta desses dados pessoais seja utilizada estritamente para a finalidade a que se destina (garantia da segurança pública), seja necessária e proporcional e realizada apenas por autoridades que componham o sistema de segurança pública.” (p. 76)</w:t>
      </w:r>
    </w:p>
    <w:p w:rsidR="00000000" w:rsidDel="00000000" w:rsidP="00000000" w:rsidRDefault="00000000" w:rsidRPr="00000000" w14:paraId="00000053">
      <w:pPr>
        <w:jc w:val="both"/>
        <w:rPr>
          <w:sz w:val="26"/>
          <w:szCs w:val="26"/>
          <w:highlight w:val="white"/>
        </w:rPr>
      </w:pPr>
      <w:r w:rsidDel="00000000" w:rsidR="00000000" w:rsidRPr="00000000">
        <w:rPr>
          <w:rtl w:val="0"/>
        </w:rPr>
      </w:r>
    </w:p>
    <w:p w:rsidR="00000000" w:rsidDel="00000000" w:rsidP="00000000" w:rsidRDefault="00000000" w:rsidRPr="00000000" w14:paraId="00000054">
      <w:pPr>
        <w:jc w:val="both"/>
        <w:rPr>
          <w:sz w:val="26"/>
          <w:szCs w:val="26"/>
          <w:highlight w:val="white"/>
        </w:rPr>
      </w:pPr>
      <w:r w:rsidDel="00000000" w:rsidR="00000000" w:rsidRPr="00000000">
        <w:rPr>
          <w:rFonts w:ascii="Arial Unicode MS" w:cs="Arial Unicode MS" w:eastAsia="Arial Unicode MS" w:hAnsi="Arial Unicode MS"/>
          <w:sz w:val="26"/>
          <w:szCs w:val="26"/>
          <w:highlight w:val="white"/>
          <w:rtl w:val="0"/>
        </w:rPr>
        <w:t xml:space="preserve">→ três Projetos de Lei em tramitação no Congresso Nacional sobre proteção de dados pessoais - </w:t>
      </w:r>
      <w:r w:rsidDel="00000000" w:rsidR="00000000" w:rsidRPr="00000000">
        <w:rPr>
          <w:sz w:val="26"/>
          <w:szCs w:val="26"/>
          <w:highlight w:val="yellow"/>
          <w:rtl w:val="0"/>
        </w:rPr>
        <w:t xml:space="preserve">PLs nº 5.276, de 2016, 330, de 2013 e 4.060, de 2012</w:t>
      </w:r>
      <w:r w:rsidDel="00000000" w:rsidR="00000000" w:rsidRPr="00000000">
        <w:rPr>
          <w:sz w:val="26"/>
          <w:szCs w:val="26"/>
          <w:highlight w:val="white"/>
          <w:rtl w:val="0"/>
        </w:rPr>
        <w:t xml:space="preserve"> -, distinguem “dados pessoais” de “dados pessoais sensíveis”. Os últimos envolveriam, em geral, os dados pessoais sobre a origem racial ou étnica, convicções religiosas e políticas, além de dados referentes à saúde e à vida sexual. Tal distinção é de grande relevância, visto que a coleta do “dado pessoal sensível” deverá respeitar critérios mais rigorosos em relação ao consentimento obtido, como a prestação de informações prévias e específicas ao indivíduo e a manifestação própria para a coleta de dados sensíveis, caso um dentre os Projetos de Lei mencionados seja aprovado 9. P. 78)</w:t>
      </w:r>
    </w:p>
    <w:p w:rsidR="00000000" w:rsidDel="00000000" w:rsidP="00000000" w:rsidRDefault="00000000" w:rsidRPr="00000000" w14:paraId="00000055">
      <w:pPr>
        <w:jc w:val="both"/>
        <w:rPr>
          <w:sz w:val="26"/>
          <w:szCs w:val="26"/>
          <w:highlight w:val="white"/>
        </w:rPr>
      </w:pPr>
      <w:r w:rsidDel="00000000" w:rsidR="00000000" w:rsidRPr="00000000">
        <w:rPr>
          <w:rtl w:val="0"/>
        </w:rPr>
      </w:r>
    </w:p>
    <w:p w:rsidR="00000000" w:rsidDel="00000000" w:rsidP="00000000" w:rsidRDefault="00000000" w:rsidRPr="00000000" w14:paraId="00000056">
      <w:pPr>
        <w:jc w:val="both"/>
        <w:rPr>
          <w:sz w:val="26"/>
          <w:szCs w:val="26"/>
          <w:highlight w:val="red"/>
        </w:rPr>
      </w:pPr>
      <w:r w:rsidDel="00000000" w:rsidR="00000000" w:rsidRPr="00000000">
        <w:rPr>
          <w:rFonts w:ascii="Arial Unicode MS" w:cs="Arial Unicode MS" w:eastAsia="Arial Unicode MS" w:hAnsi="Arial Unicode MS"/>
          <w:sz w:val="26"/>
          <w:szCs w:val="26"/>
          <w:highlight w:val="red"/>
          <w:rtl w:val="0"/>
        </w:rPr>
        <w:t xml:space="preserve">→ Um exemplo diz respeito ao reconhecimento facial, tecnologia cada vez mais disseminada. Estudo recente da universidade de Stanford demonstrou que é possível inferir um dado como a orientação sexual de um indivíduo (um dado considerado sensível por todas as principais legislações de privacidade globais) apenas analisando sua face.193 O caso ilustra a problemática envolvida na coleta e uso de “dados pessoais sensíveis”, que deve ser cercada por amplas cautelas, freios e contrapesos. Uma vez mais, uma legislação que permita assegurar os direitos constitucionais à privacidade dos cidadãos é fundamental e um passo prévio e necessário à implementação do uso de tecnologias que coletem “dados pessoais sensíveis”, como o reconhecimento facial.194 → 193 KOSINSKI, Michal. WANG, Yilun. Deep neutral networks are more accurate than humans at detecting sexual orientation from facial images, Journal of Personality and Social Psychology. Disponível em https://osf.io/zn79k/. Acesso em 29 de agosto de 2017.</w:t>
      </w:r>
    </w:p>
    <w:p w:rsidR="00000000" w:rsidDel="00000000" w:rsidP="00000000" w:rsidRDefault="00000000" w:rsidRPr="00000000" w14:paraId="00000057">
      <w:pPr>
        <w:jc w:val="both"/>
        <w:rPr>
          <w:sz w:val="26"/>
          <w:szCs w:val="26"/>
          <w:highlight w:val="white"/>
        </w:rPr>
      </w:pPr>
      <w:r w:rsidDel="00000000" w:rsidR="00000000" w:rsidRPr="00000000">
        <w:rPr>
          <w:rtl w:val="0"/>
        </w:rPr>
      </w:r>
    </w:p>
    <w:p w:rsidR="00000000" w:rsidDel="00000000" w:rsidP="00000000" w:rsidRDefault="00000000" w:rsidRPr="00000000" w14:paraId="00000058">
      <w:pPr>
        <w:jc w:val="both"/>
        <w:rPr>
          <w:sz w:val="26"/>
          <w:szCs w:val="26"/>
          <w:highlight w:val="yellow"/>
        </w:rPr>
      </w:pPr>
      <w:r w:rsidDel="00000000" w:rsidR="00000000" w:rsidRPr="00000000">
        <w:rPr>
          <w:rFonts w:ascii="Arial Unicode MS" w:cs="Arial Unicode MS" w:eastAsia="Arial Unicode MS" w:hAnsi="Arial Unicode MS"/>
          <w:sz w:val="26"/>
          <w:szCs w:val="26"/>
          <w:highlight w:val="white"/>
          <w:rtl w:val="0"/>
        </w:rPr>
        <w:t xml:space="preserve">“Em outras palavras, a coleta de dados deve ser pensada tendo sempre em mente o conceito de “privacidade por desenho” (privacy by design), isto é, o próprio desenho do serviço público deverá considerar desde o início de sua concepção a dimensão de proteção à privacidade. Nesse sentido, uma solução é que os dados sejam anonimizados e agregados desde o momento da sua coleta. Outras técnicas como o uso da chamada “privacidade diferencial” devem também ser empregados como forma de oferecer garantias técnicas ainda mais robustas para o indivíduo com relação a sua vida privada.” → </w:t>
      </w:r>
      <w:r w:rsidDel="00000000" w:rsidR="00000000" w:rsidRPr="00000000">
        <w:rPr>
          <w:sz w:val="26"/>
          <w:szCs w:val="26"/>
          <w:highlight w:val="yellow"/>
          <w:rtl w:val="0"/>
        </w:rPr>
        <w:t xml:space="preserve">entender melhor o conceito de privacy by design p. 79</w:t>
      </w:r>
    </w:p>
    <w:p w:rsidR="00000000" w:rsidDel="00000000" w:rsidP="00000000" w:rsidRDefault="00000000" w:rsidRPr="00000000" w14:paraId="00000059">
      <w:pPr>
        <w:jc w:val="both"/>
        <w:rPr>
          <w:sz w:val="26"/>
          <w:szCs w:val="26"/>
          <w:highlight w:val="yellow"/>
        </w:rPr>
      </w:pPr>
      <w:r w:rsidDel="00000000" w:rsidR="00000000" w:rsidRPr="00000000">
        <w:rPr>
          <w:rtl w:val="0"/>
        </w:rPr>
      </w:r>
    </w:p>
    <w:p w:rsidR="00000000" w:rsidDel="00000000" w:rsidP="00000000" w:rsidRDefault="00000000" w:rsidRPr="00000000" w14:paraId="0000005A">
      <w:pPr>
        <w:jc w:val="both"/>
        <w:rPr>
          <w:i w:val="1"/>
          <w:sz w:val="26"/>
          <w:szCs w:val="26"/>
          <w:highlight w:val="yellow"/>
        </w:rPr>
      </w:pPr>
      <w:r w:rsidDel="00000000" w:rsidR="00000000" w:rsidRPr="00000000">
        <w:rPr>
          <w:rFonts w:ascii="Arial Unicode MS" w:cs="Arial Unicode MS" w:eastAsia="Arial Unicode MS" w:hAnsi="Arial Unicode MS"/>
          <w:sz w:val="26"/>
          <w:szCs w:val="26"/>
          <w:highlight w:val="yellow"/>
          <w:rtl w:val="0"/>
        </w:rPr>
        <w:t xml:space="preserve">→ Ler mais sobre ferramentas de </w:t>
      </w:r>
      <w:r w:rsidDel="00000000" w:rsidR="00000000" w:rsidRPr="00000000">
        <w:rPr>
          <w:i w:val="1"/>
          <w:sz w:val="26"/>
          <w:szCs w:val="26"/>
          <w:highlight w:val="yellow"/>
          <w:rtl w:val="0"/>
        </w:rPr>
        <w:t xml:space="preserve">opt in</w:t>
      </w:r>
      <w:r w:rsidDel="00000000" w:rsidR="00000000" w:rsidRPr="00000000">
        <w:rPr>
          <w:sz w:val="26"/>
          <w:szCs w:val="26"/>
          <w:highlight w:val="yellow"/>
          <w:rtl w:val="0"/>
        </w:rPr>
        <w:t xml:space="preserve"> e </w:t>
      </w:r>
      <w:r w:rsidDel="00000000" w:rsidR="00000000" w:rsidRPr="00000000">
        <w:rPr>
          <w:i w:val="1"/>
          <w:sz w:val="26"/>
          <w:szCs w:val="26"/>
          <w:highlight w:val="yellow"/>
          <w:rtl w:val="0"/>
        </w:rPr>
        <w:t xml:space="preserve">opt out</w:t>
      </w:r>
    </w:p>
    <w:p w:rsidR="00000000" w:rsidDel="00000000" w:rsidP="00000000" w:rsidRDefault="00000000" w:rsidRPr="00000000" w14:paraId="0000005B">
      <w:pPr>
        <w:jc w:val="both"/>
        <w:rPr>
          <w:i w:val="1"/>
          <w:sz w:val="26"/>
          <w:szCs w:val="26"/>
          <w:highlight w:val="yellow"/>
        </w:rPr>
      </w:pPr>
      <w:r w:rsidDel="00000000" w:rsidR="00000000" w:rsidRPr="00000000">
        <w:rPr>
          <w:rtl w:val="0"/>
        </w:rPr>
      </w:r>
    </w:p>
    <w:p w:rsidR="00000000" w:rsidDel="00000000" w:rsidP="00000000" w:rsidRDefault="00000000" w:rsidRPr="00000000" w14:paraId="0000005C">
      <w:pPr>
        <w:jc w:val="both"/>
        <w:rPr>
          <w:sz w:val="26"/>
          <w:szCs w:val="26"/>
          <w:highlight w:val="white"/>
        </w:rPr>
      </w:pPr>
      <w:r w:rsidDel="00000000" w:rsidR="00000000" w:rsidRPr="00000000">
        <w:rPr>
          <w:sz w:val="26"/>
          <w:szCs w:val="26"/>
          <w:highlight w:val="white"/>
          <w:rtl w:val="0"/>
        </w:rPr>
        <w:t xml:space="preserve">“Recomenda-se, ainda, que o Poder Público evite, por completo, coletar dados pessoais considerados “sensíveis”. Caso uma lei geral específica para a proteção de dados pessoais seja aprovada, a coleta - ou a inferência -, desses dados representaria riscos exacerbados aos municípios, haja vista a mencionada dificuldade para a obtenção de consentimento prévio em cidades inteligentes.” (p. 80)</w:t>
      </w:r>
    </w:p>
    <w:p w:rsidR="00000000" w:rsidDel="00000000" w:rsidP="00000000" w:rsidRDefault="00000000" w:rsidRPr="00000000" w14:paraId="0000005D">
      <w:pPr>
        <w:jc w:val="both"/>
        <w:rPr>
          <w:sz w:val="26"/>
          <w:szCs w:val="26"/>
          <w:highlight w:val="white"/>
        </w:rPr>
      </w:pPr>
      <w:r w:rsidDel="00000000" w:rsidR="00000000" w:rsidRPr="00000000">
        <w:rPr>
          <w:rtl w:val="0"/>
        </w:rPr>
      </w:r>
    </w:p>
    <w:p w:rsidR="00000000" w:rsidDel="00000000" w:rsidP="00000000" w:rsidRDefault="00000000" w:rsidRPr="00000000" w14:paraId="0000005E">
      <w:pPr>
        <w:jc w:val="both"/>
        <w:rPr>
          <w:sz w:val="26"/>
          <w:szCs w:val="26"/>
          <w:highlight w:val="white"/>
        </w:rPr>
      </w:pPr>
      <w:r w:rsidDel="00000000" w:rsidR="00000000" w:rsidRPr="00000000">
        <w:rPr>
          <w:sz w:val="26"/>
          <w:szCs w:val="26"/>
          <w:highlight w:val="white"/>
          <w:rtl w:val="0"/>
        </w:rPr>
        <w:t xml:space="preserve">“Outro aspecto central no debate sobre privacidade nas cidades inteligentes é o compartilhamento de dados coletados nas soluções desenvolvidas pelo Poder Público a outros órgãos da Administração Pública e autoridades policiais.” (p. 82)</w:t>
      </w:r>
    </w:p>
    <w:p w:rsidR="00000000" w:rsidDel="00000000" w:rsidP="00000000" w:rsidRDefault="00000000" w:rsidRPr="00000000" w14:paraId="0000005F">
      <w:pPr>
        <w:jc w:val="both"/>
        <w:rPr>
          <w:sz w:val="26"/>
          <w:szCs w:val="26"/>
          <w:highlight w:val="white"/>
        </w:rPr>
      </w:pPr>
      <w:r w:rsidDel="00000000" w:rsidR="00000000" w:rsidRPr="00000000">
        <w:rPr>
          <w:rtl w:val="0"/>
        </w:rPr>
      </w:r>
    </w:p>
    <w:p w:rsidR="00000000" w:rsidDel="00000000" w:rsidP="00000000" w:rsidRDefault="00000000" w:rsidRPr="00000000" w14:paraId="00000060">
      <w:pPr>
        <w:jc w:val="both"/>
        <w:rPr>
          <w:sz w:val="26"/>
          <w:szCs w:val="26"/>
          <w:highlight w:val="white"/>
        </w:rPr>
      </w:pPr>
      <w:r w:rsidDel="00000000" w:rsidR="00000000" w:rsidRPr="00000000">
        <w:rPr>
          <w:rFonts w:ascii="Arial Unicode MS" w:cs="Arial Unicode MS" w:eastAsia="Arial Unicode MS" w:hAnsi="Arial Unicode MS"/>
          <w:sz w:val="26"/>
          <w:szCs w:val="26"/>
          <w:highlight w:val="white"/>
          <w:rtl w:val="0"/>
        </w:rPr>
        <w:t xml:space="preserve">→ Questão do cruzamento de dados entre diferentes setores da administração pública: “Ressaltamos, de imediato, que o próprio compartilhamento de bancos de dados por parte do Poder Público gera questionamentos. Podem os dados de mobilidade de um indivíduo ser utilizados para fins de segurança pública, sendo compartilhados com a polícia? É necessária uma ordem judicial para esse compartilhamento? Ou ainda, podem os dados dos cidadãos relativos a mobilidade serem utilizados pela fazenda pública municipal para fins de fiscalização de cobrança dos impostos sobre propriedade e sobre serviços? Seria necessária ordem judicial prévia para esse fim? Em nosso entendimento a resposta é afirmativa. O Poder Público só pode efetuar o cruzamento de dados em que foram coletados para o fim de “enforcement” que vá além das finalidades para as quais o dado foi coletado se autorizado pelo Poder Judiciário”. (p. 83)</w:t>
      </w:r>
    </w:p>
    <w:p w:rsidR="00000000" w:rsidDel="00000000" w:rsidP="00000000" w:rsidRDefault="00000000" w:rsidRPr="00000000" w14:paraId="00000061">
      <w:pPr>
        <w:jc w:val="both"/>
        <w:rPr>
          <w:sz w:val="26"/>
          <w:szCs w:val="26"/>
          <w:highlight w:val="white"/>
        </w:rPr>
      </w:pPr>
      <w:r w:rsidDel="00000000" w:rsidR="00000000" w:rsidRPr="00000000">
        <w:rPr>
          <w:rtl w:val="0"/>
        </w:rPr>
      </w:r>
    </w:p>
    <w:p w:rsidR="00000000" w:rsidDel="00000000" w:rsidP="00000000" w:rsidRDefault="00000000" w:rsidRPr="00000000" w14:paraId="00000062">
      <w:pPr>
        <w:jc w:val="both"/>
        <w:rPr>
          <w:sz w:val="26"/>
          <w:szCs w:val="26"/>
          <w:highlight w:val="white"/>
        </w:rPr>
      </w:pPr>
      <w:r w:rsidDel="00000000" w:rsidR="00000000" w:rsidRPr="00000000">
        <w:rPr>
          <w:rFonts w:ascii="Arial Unicode MS" w:cs="Arial Unicode MS" w:eastAsia="Arial Unicode MS" w:hAnsi="Arial Unicode MS"/>
          <w:sz w:val="26"/>
          <w:szCs w:val="26"/>
          <w:highlight w:val="white"/>
          <w:rtl w:val="0"/>
        </w:rPr>
        <w:t xml:space="preserve">→ Pesquisar: </w:t>
      </w:r>
      <w:hyperlink r:id="rId7">
        <w:r w:rsidDel="00000000" w:rsidR="00000000" w:rsidRPr="00000000">
          <w:rPr>
            <w:color w:val="1155cc"/>
            <w:sz w:val="26"/>
            <w:szCs w:val="26"/>
            <w:highlight w:val="white"/>
            <w:u w:val="single"/>
            <w:rtl w:val="0"/>
          </w:rPr>
          <w:t xml:space="preserve">https://data.ny.gov</w:t>
        </w:r>
      </w:hyperlink>
      <w:r w:rsidDel="00000000" w:rsidR="00000000" w:rsidRPr="00000000">
        <w:rPr>
          <w:sz w:val="26"/>
          <w:szCs w:val="26"/>
          <w:highlight w:val="white"/>
          <w:rtl w:val="0"/>
        </w:rPr>
        <w:t xml:space="preserve">.</w:t>
      </w:r>
    </w:p>
    <w:p w:rsidR="00000000" w:rsidDel="00000000" w:rsidP="00000000" w:rsidRDefault="00000000" w:rsidRPr="00000000" w14:paraId="00000063">
      <w:pPr>
        <w:jc w:val="both"/>
        <w:rPr>
          <w:sz w:val="26"/>
          <w:szCs w:val="26"/>
          <w:highlight w:val="white"/>
        </w:rPr>
      </w:pPr>
      <w:r w:rsidDel="00000000" w:rsidR="00000000" w:rsidRPr="00000000">
        <w:rPr>
          <w:rtl w:val="0"/>
        </w:rPr>
      </w:r>
    </w:p>
    <w:p w:rsidR="00000000" w:rsidDel="00000000" w:rsidP="00000000" w:rsidRDefault="00000000" w:rsidRPr="00000000" w14:paraId="00000064">
      <w:pPr>
        <w:jc w:val="both"/>
        <w:rPr>
          <w:sz w:val="26"/>
          <w:szCs w:val="26"/>
          <w:highlight w:val="white"/>
        </w:rPr>
      </w:pPr>
      <w:r w:rsidDel="00000000" w:rsidR="00000000" w:rsidRPr="00000000">
        <w:rPr>
          <w:rFonts w:ascii="Arial Unicode MS" w:cs="Arial Unicode MS" w:eastAsia="Arial Unicode MS" w:hAnsi="Arial Unicode MS"/>
          <w:sz w:val="26"/>
          <w:szCs w:val="26"/>
          <w:highlight w:val="white"/>
          <w:rtl w:val="0"/>
        </w:rPr>
        <w:t xml:space="preserve">→ Mobiidade urbana: </w:t>
      </w:r>
    </w:p>
    <w:p w:rsidR="00000000" w:rsidDel="00000000" w:rsidP="00000000" w:rsidRDefault="00000000" w:rsidRPr="00000000" w14:paraId="00000065">
      <w:pPr>
        <w:numPr>
          <w:ilvl w:val="0"/>
          <w:numId w:val="3"/>
        </w:numPr>
        <w:ind w:left="720" w:hanging="360"/>
        <w:jc w:val="both"/>
        <w:rPr>
          <w:sz w:val="26"/>
          <w:szCs w:val="26"/>
          <w:highlight w:val="white"/>
          <w:u w:val="none"/>
        </w:rPr>
      </w:pPr>
      <w:r w:rsidDel="00000000" w:rsidR="00000000" w:rsidRPr="00000000">
        <w:rPr>
          <w:sz w:val="26"/>
          <w:szCs w:val="26"/>
          <w:highlight w:val="white"/>
          <w:rtl w:val="0"/>
        </w:rPr>
        <w:t xml:space="preserve">Redução no tempo de deslocamento e melhoria na experiência do cidadão no trânsito,</w:t>
      </w:r>
    </w:p>
    <w:p w:rsidR="00000000" w:rsidDel="00000000" w:rsidP="00000000" w:rsidRDefault="00000000" w:rsidRPr="00000000" w14:paraId="00000066">
      <w:pPr>
        <w:numPr>
          <w:ilvl w:val="0"/>
          <w:numId w:val="3"/>
        </w:numPr>
        <w:ind w:left="720" w:hanging="360"/>
        <w:jc w:val="both"/>
        <w:rPr>
          <w:sz w:val="26"/>
          <w:szCs w:val="26"/>
          <w:highlight w:val="white"/>
          <w:u w:val="none"/>
        </w:rPr>
      </w:pPr>
      <w:r w:rsidDel="00000000" w:rsidR="00000000" w:rsidRPr="00000000">
        <w:rPr>
          <w:sz w:val="26"/>
          <w:szCs w:val="26"/>
          <w:highlight w:val="white"/>
          <w:rtl w:val="0"/>
        </w:rPr>
        <w:t xml:space="preserve">Aprimoramento da gestão do transporte público, com especial enfoque à promoção de eficiência, segurança e qualidade do serviço;</w:t>
      </w:r>
    </w:p>
    <w:p w:rsidR="00000000" w:rsidDel="00000000" w:rsidP="00000000" w:rsidRDefault="00000000" w:rsidRPr="00000000" w14:paraId="00000067">
      <w:pPr>
        <w:numPr>
          <w:ilvl w:val="0"/>
          <w:numId w:val="3"/>
        </w:numPr>
        <w:ind w:left="720" w:hanging="360"/>
        <w:jc w:val="both"/>
        <w:rPr>
          <w:sz w:val="26"/>
          <w:szCs w:val="26"/>
          <w:highlight w:val="white"/>
          <w:u w:val="none"/>
        </w:rPr>
      </w:pPr>
      <w:r w:rsidDel="00000000" w:rsidR="00000000" w:rsidRPr="00000000">
        <w:rPr>
          <w:sz w:val="26"/>
          <w:szCs w:val="26"/>
          <w:highlight w:val="white"/>
          <w:rtl w:val="0"/>
        </w:rPr>
        <w:t xml:space="preserve">Priorização do transporte público em detrimento do automóvel particular;</w:t>
      </w:r>
    </w:p>
    <w:p w:rsidR="00000000" w:rsidDel="00000000" w:rsidP="00000000" w:rsidRDefault="00000000" w:rsidRPr="00000000" w14:paraId="00000068">
      <w:pPr>
        <w:numPr>
          <w:ilvl w:val="0"/>
          <w:numId w:val="3"/>
        </w:numPr>
        <w:ind w:left="720" w:hanging="360"/>
        <w:jc w:val="both"/>
        <w:rPr>
          <w:sz w:val="26"/>
          <w:szCs w:val="26"/>
          <w:highlight w:val="white"/>
          <w:u w:val="none"/>
        </w:rPr>
      </w:pPr>
      <w:r w:rsidDel="00000000" w:rsidR="00000000" w:rsidRPr="00000000">
        <w:rPr>
          <w:sz w:val="26"/>
          <w:szCs w:val="26"/>
          <w:highlight w:val="white"/>
          <w:rtl w:val="0"/>
        </w:rPr>
        <w:t xml:space="preserve">Integração entre diferentes modais de transporte;</w:t>
      </w:r>
    </w:p>
    <w:p w:rsidR="00000000" w:rsidDel="00000000" w:rsidP="00000000" w:rsidRDefault="00000000" w:rsidRPr="00000000" w14:paraId="00000069">
      <w:pPr>
        <w:numPr>
          <w:ilvl w:val="0"/>
          <w:numId w:val="3"/>
        </w:numPr>
        <w:ind w:left="720" w:hanging="360"/>
        <w:jc w:val="both"/>
        <w:rPr>
          <w:sz w:val="26"/>
          <w:szCs w:val="26"/>
          <w:highlight w:val="white"/>
          <w:u w:val="none"/>
        </w:rPr>
      </w:pPr>
      <w:r w:rsidDel="00000000" w:rsidR="00000000" w:rsidRPr="00000000">
        <w:rPr>
          <w:sz w:val="26"/>
          <w:szCs w:val="26"/>
          <w:highlight w:val="white"/>
          <w:rtl w:val="0"/>
        </w:rPr>
        <w:t xml:space="preserve">Estímulo à locomoção não motorizada (pedestres e bicicletas); e</w:t>
      </w:r>
    </w:p>
    <w:p w:rsidR="00000000" w:rsidDel="00000000" w:rsidP="00000000" w:rsidRDefault="00000000" w:rsidRPr="00000000" w14:paraId="0000006A">
      <w:pPr>
        <w:numPr>
          <w:ilvl w:val="0"/>
          <w:numId w:val="3"/>
        </w:numPr>
        <w:ind w:left="720" w:hanging="360"/>
        <w:jc w:val="both"/>
        <w:rPr>
          <w:sz w:val="26"/>
          <w:szCs w:val="26"/>
          <w:highlight w:val="white"/>
          <w:u w:val="none"/>
        </w:rPr>
      </w:pPr>
      <w:r w:rsidDel="00000000" w:rsidR="00000000" w:rsidRPr="00000000">
        <w:rPr>
          <w:sz w:val="26"/>
          <w:szCs w:val="26"/>
          <w:highlight w:val="white"/>
          <w:rtl w:val="0"/>
        </w:rPr>
        <w:t xml:space="preserve">Adoção de medidas para assegurar a acessibilidade universal.</w:t>
      </w:r>
    </w:p>
    <w:p w:rsidR="00000000" w:rsidDel="00000000" w:rsidP="00000000" w:rsidRDefault="00000000" w:rsidRPr="00000000" w14:paraId="0000006B">
      <w:pPr>
        <w:jc w:val="both"/>
        <w:rPr>
          <w:sz w:val="26"/>
          <w:szCs w:val="26"/>
          <w:highlight w:val="white"/>
        </w:rPr>
      </w:pPr>
      <w:r w:rsidDel="00000000" w:rsidR="00000000" w:rsidRPr="00000000">
        <w:rPr>
          <w:rtl w:val="0"/>
        </w:rPr>
      </w:r>
    </w:p>
    <w:p w:rsidR="00000000" w:rsidDel="00000000" w:rsidP="00000000" w:rsidRDefault="00000000" w:rsidRPr="00000000" w14:paraId="0000006C">
      <w:pPr>
        <w:jc w:val="both"/>
        <w:rPr>
          <w:sz w:val="26"/>
          <w:szCs w:val="26"/>
          <w:highlight w:val="white"/>
        </w:rPr>
      </w:pPr>
      <w:r w:rsidDel="00000000" w:rsidR="00000000" w:rsidRPr="00000000">
        <w:rPr>
          <w:rFonts w:ascii="Arial Unicode MS" w:cs="Arial Unicode MS" w:eastAsia="Arial Unicode MS" w:hAnsi="Arial Unicode MS"/>
          <w:sz w:val="26"/>
          <w:szCs w:val="26"/>
          <w:highlight w:val="white"/>
          <w:rtl w:val="0"/>
        </w:rPr>
        <w:t xml:space="preserve">→ sobre IA: chamado . “Lessig chamava a atenção para o fato de que programas de computador ("códigos") serão cada vez mais responsáveis por embutir neles regras que regulam decisões sobre um grande número de pessoas, todos os dias.” p. 131</w:t>
      </w:r>
    </w:p>
    <w:p w:rsidR="00000000" w:rsidDel="00000000" w:rsidP="00000000" w:rsidRDefault="00000000" w:rsidRPr="00000000" w14:paraId="0000006D">
      <w:pPr>
        <w:jc w:val="both"/>
        <w:rPr>
          <w:sz w:val="26"/>
          <w:szCs w:val="26"/>
          <w:highlight w:val="yellow"/>
        </w:rPr>
      </w:pPr>
      <w:r w:rsidDel="00000000" w:rsidR="00000000" w:rsidRPr="00000000">
        <w:rPr>
          <w:rtl w:val="0"/>
        </w:rPr>
      </w:r>
    </w:p>
    <w:p w:rsidR="00000000" w:rsidDel="00000000" w:rsidP="00000000" w:rsidRDefault="00000000" w:rsidRPr="00000000" w14:paraId="0000006E">
      <w:pPr>
        <w:jc w:val="both"/>
        <w:rPr>
          <w:sz w:val="26"/>
          <w:szCs w:val="26"/>
          <w:highlight w:val="white"/>
        </w:rPr>
      </w:pPr>
      <w:r w:rsidDel="00000000" w:rsidR="00000000" w:rsidRPr="00000000">
        <w:rPr>
          <w:rtl w:val="0"/>
        </w:rPr>
      </w:r>
    </w:p>
    <w:p w:rsidR="00000000" w:rsidDel="00000000" w:rsidP="00000000" w:rsidRDefault="00000000" w:rsidRPr="00000000" w14:paraId="0000006F">
      <w:pPr>
        <w:jc w:val="both"/>
        <w:rPr>
          <w:sz w:val="26"/>
          <w:szCs w:val="26"/>
          <w:highlight w:val="white"/>
        </w:rPr>
      </w:pPr>
      <w:r w:rsidDel="00000000" w:rsidR="00000000" w:rsidRPr="00000000">
        <w:rPr>
          <w:sz w:val="26"/>
          <w:szCs w:val="26"/>
          <w:highlight w:val="white"/>
          <w:rtl w:val="0"/>
        </w:rPr>
        <w:t xml:space="preserve"> </w:t>
      </w:r>
    </w:p>
    <w:p w:rsidR="00000000" w:rsidDel="00000000" w:rsidP="00000000" w:rsidRDefault="00000000" w:rsidRPr="00000000" w14:paraId="00000070">
      <w:pPr>
        <w:jc w:val="both"/>
        <w:rPr>
          <w:sz w:val="26"/>
          <w:szCs w:val="26"/>
          <w:highlight w:val="white"/>
        </w:rPr>
      </w:pPr>
      <w:r w:rsidDel="00000000" w:rsidR="00000000" w:rsidRPr="00000000">
        <w:rPr>
          <w:rtl w:val="0"/>
        </w:rPr>
      </w:r>
    </w:p>
    <w:p w:rsidR="00000000" w:rsidDel="00000000" w:rsidP="00000000" w:rsidRDefault="00000000" w:rsidRPr="00000000" w14:paraId="00000071">
      <w:pPr>
        <w:jc w:val="both"/>
        <w:rPr>
          <w:sz w:val="26"/>
          <w:szCs w:val="26"/>
          <w:highlight w:val="white"/>
        </w:rPr>
      </w:pPr>
      <w:r w:rsidDel="00000000" w:rsidR="00000000" w:rsidRPr="00000000">
        <w:rPr>
          <w:rtl w:val="0"/>
        </w:rPr>
      </w:r>
    </w:p>
    <w:p w:rsidR="00000000" w:rsidDel="00000000" w:rsidP="00000000" w:rsidRDefault="00000000" w:rsidRPr="00000000" w14:paraId="00000072">
      <w:pPr>
        <w:jc w:val="both"/>
        <w:rPr>
          <w:highlight w:val="white"/>
        </w:rPr>
      </w:pPr>
      <w:r w:rsidDel="00000000" w:rsidR="00000000" w:rsidRPr="00000000">
        <w:rPr>
          <w:rtl w:val="0"/>
        </w:rPr>
      </w:r>
    </w:p>
    <w:p w:rsidR="00000000" w:rsidDel="00000000" w:rsidP="00000000" w:rsidRDefault="00000000" w:rsidRPr="00000000" w14:paraId="00000073">
      <w:pPr>
        <w:jc w:val="both"/>
        <w:rPr>
          <w:highlight w:val="white"/>
        </w:rPr>
      </w:pPr>
      <w:r w:rsidDel="00000000" w:rsidR="00000000" w:rsidRPr="00000000">
        <w:rPr>
          <w:rtl w:val="0"/>
        </w:rPr>
      </w:r>
    </w:p>
    <w:p w:rsidR="00000000" w:rsidDel="00000000" w:rsidP="00000000" w:rsidRDefault="00000000" w:rsidRPr="00000000" w14:paraId="00000074">
      <w:pPr>
        <w:jc w:val="both"/>
        <w:rPr>
          <w:highlight w:val="white"/>
        </w:rPr>
      </w:pPr>
      <w:r w:rsidDel="00000000" w:rsidR="00000000" w:rsidRPr="00000000">
        <w:rPr>
          <w:rtl w:val="0"/>
        </w:rPr>
      </w:r>
    </w:p>
    <w:p w:rsidR="00000000" w:rsidDel="00000000" w:rsidP="00000000" w:rsidRDefault="00000000" w:rsidRPr="00000000" w14:paraId="00000075">
      <w:pPr>
        <w:jc w:val="both"/>
        <w:rPr>
          <w:highlight w:val="white"/>
        </w:rPr>
      </w:pPr>
      <w:r w:rsidDel="00000000" w:rsidR="00000000" w:rsidRPr="00000000">
        <w:rPr>
          <w:rtl w:val="0"/>
        </w:rPr>
      </w:r>
    </w:p>
    <w:p w:rsidR="00000000" w:rsidDel="00000000" w:rsidP="00000000" w:rsidRDefault="00000000" w:rsidRPr="00000000" w14:paraId="00000076">
      <w:pPr>
        <w:rPr>
          <w:highlight w:val="white"/>
        </w:rPr>
      </w:pPr>
      <w:r w:rsidDel="00000000" w:rsidR="00000000" w:rsidRPr="00000000">
        <w:rPr>
          <w:rtl w:val="0"/>
        </w:rPr>
      </w:r>
    </w:p>
    <w:p w:rsidR="00000000" w:rsidDel="00000000" w:rsidP="00000000" w:rsidRDefault="00000000" w:rsidRPr="00000000" w14:paraId="00000077">
      <w:pPr>
        <w:jc w:val="both"/>
        <w:rPr/>
      </w:pPr>
      <w:r w:rsidDel="00000000" w:rsidR="00000000" w:rsidRPr="00000000">
        <w:rPr>
          <w:rtl w:val="0"/>
        </w:rPr>
      </w:r>
    </w:p>
    <w:p w:rsidR="00000000" w:rsidDel="00000000" w:rsidP="00000000" w:rsidRDefault="00000000" w:rsidRPr="00000000" w14:paraId="00000078">
      <w:pPr>
        <w:jc w:val="both"/>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ata.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